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D516D" w14:textId="77777777" w:rsidR="00B070AA" w:rsidRPr="00423922" w:rsidRDefault="00B070AA" w:rsidP="00423922">
      <w:pPr>
        <w:autoSpaceDE w:val="0"/>
        <w:autoSpaceDN w:val="0"/>
        <w:adjustRightInd w:val="0"/>
        <w:spacing w:after="0" w:line="360" w:lineRule="exact"/>
        <w:ind w:firstLine="709"/>
        <w:jc w:val="center"/>
        <w:outlineLvl w:val="0"/>
        <w:rPr>
          <w:rFonts w:ascii="Times New Roman" w:hAnsi="Times New Roman" w:cs="Times New Roman"/>
          <w:b/>
          <w:bCs/>
          <w:sz w:val="28"/>
          <w:szCs w:val="28"/>
        </w:rPr>
      </w:pPr>
    </w:p>
    <w:p w14:paraId="1CFCEB0A" w14:textId="38D09628" w:rsidR="001F7CEC" w:rsidRPr="00423922" w:rsidRDefault="001F7CEC" w:rsidP="00423922">
      <w:pPr>
        <w:autoSpaceDE w:val="0"/>
        <w:autoSpaceDN w:val="0"/>
        <w:adjustRightInd w:val="0"/>
        <w:spacing w:after="0" w:line="360" w:lineRule="exact"/>
        <w:ind w:firstLine="709"/>
        <w:jc w:val="center"/>
        <w:outlineLvl w:val="0"/>
        <w:rPr>
          <w:rFonts w:ascii="Times New Roman" w:hAnsi="Times New Roman" w:cs="Times New Roman"/>
          <w:b/>
          <w:bCs/>
          <w:sz w:val="28"/>
          <w:szCs w:val="28"/>
        </w:rPr>
      </w:pPr>
      <w:r w:rsidRPr="00423922">
        <w:rPr>
          <w:rFonts w:ascii="Times New Roman" w:hAnsi="Times New Roman" w:cs="Times New Roman"/>
          <w:b/>
          <w:bCs/>
          <w:sz w:val="28"/>
          <w:szCs w:val="28"/>
        </w:rPr>
        <w:t>ОБЗОР ФЕДЕРАЛЬНОГО ЗАКОНОДАТЕЛЬСТВА</w:t>
      </w:r>
    </w:p>
    <w:p w14:paraId="349F574C" w14:textId="3541B5E9" w:rsidR="00222298" w:rsidRPr="00423922" w:rsidRDefault="001F7CEC" w:rsidP="00423922">
      <w:pPr>
        <w:autoSpaceDE w:val="0"/>
        <w:autoSpaceDN w:val="0"/>
        <w:adjustRightInd w:val="0"/>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w:t>
      </w:r>
      <w:bookmarkStart w:id="0" w:name="_Hlk221780890"/>
      <w:r w:rsidRPr="00423922">
        <w:rPr>
          <w:rFonts w:ascii="Times New Roman" w:hAnsi="Times New Roman" w:cs="Times New Roman"/>
          <w:b/>
          <w:bCs/>
          <w:sz w:val="28"/>
          <w:szCs w:val="28"/>
        </w:rPr>
        <w:t xml:space="preserve">с </w:t>
      </w:r>
      <w:r w:rsidR="00BA6934" w:rsidRPr="00423922">
        <w:rPr>
          <w:rFonts w:ascii="Times New Roman" w:hAnsi="Times New Roman" w:cs="Times New Roman"/>
          <w:b/>
          <w:bCs/>
          <w:sz w:val="28"/>
          <w:szCs w:val="28"/>
        </w:rPr>
        <w:t>01</w:t>
      </w:r>
      <w:r w:rsidRPr="00423922">
        <w:rPr>
          <w:rFonts w:ascii="Times New Roman" w:hAnsi="Times New Roman" w:cs="Times New Roman"/>
          <w:b/>
          <w:bCs/>
          <w:sz w:val="28"/>
          <w:szCs w:val="28"/>
        </w:rPr>
        <w:t xml:space="preserve"> </w:t>
      </w:r>
      <w:r w:rsidR="00EE511B" w:rsidRPr="00423922">
        <w:rPr>
          <w:rFonts w:ascii="Times New Roman" w:hAnsi="Times New Roman" w:cs="Times New Roman"/>
          <w:b/>
          <w:bCs/>
          <w:sz w:val="28"/>
          <w:szCs w:val="28"/>
        </w:rPr>
        <w:t>января</w:t>
      </w:r>
      <w:r w:rsidR="002F3F07" w:rsidRPr="00423922">
        <w:rPr>
          <w:rFonts w:ascii="Times New Roman" w:hAnsi="Times New Roman" w:cs="Times New Roman"/>
          <w:b/>
          <w:bCs/>
          <w:sz w:val="28"/>
          <w:szCs w:val="28"/>
        </w:rPr>
        <w:t xml:space="preserve"> </w:t>
      </w:r>
      <w:r w:rsidRPr="00423922">
        <w:rPr>
          <w:rFonts w:ascii="Times New Roman" w:hAnsi="Times New Roman" w:cs="Times New Roman"/>
          <w:b/>
          <w:bCs/>
          <w:sz w:val="28"/>
          <w:szCs w:val="28"/>
        </w:rPr>
        <w:t>202</w:t>
      </w:r>
      <w:r w:rsidR="0024060A" w:rsidRPr="00423922">
        <w:rPr>
          <w:rFonts w:ascii="Times New Roman" w:hAnsi="Times New Roman" w:cs="Times New Roman"/>
          <w:b/>
          <w:bCs/>
          <w:sz w:val="28"/>
          <w:szCs w:val="28"/>
        </w:rPr>
        <w:t>6</w:t>
      </w:r>
      <w:r w:rsidRPr="00423922">
        <w:rPr>
          <w:rFonts w:ascii="Times New Roman" w:hAnsi="Times New Roman" w:cs="Times New Roman"/>
          <w:b/>
          <w:bCs/>
          <w:sz w:val="28"/>
          <w:szCs w:val="28"/>
        </w:rPr>
        <w:t xml:space="preserve"> г. по </w:t>
      </w:r>
      <w:r w:rsidR="004B1EC2" w:rsidRPr="00423922">
        <w:rPr>
          <w:rFonts w:ascii="Times New Roman" w:hAnsi="Times New Roman" w:cs="Times New Roman"/>
          <w:b/>
          <w:bCs/>
          <w:sz w:val="28"/>
          <w:szCs w:val="28"/>
        </w:rPr>
        <w:t>3</w:t>
      </w:r>
      <w:r w:rsidR="00A321FA" w:rsidRPr="00423922">
        <w:rPr>
          <w:rFonts w:ascii="Times New Roman" w:hAnsi="Times New Roman" w:cs="Times New Roman"/>
          <w:b/>
          <w:bCs/>
          <w:sz w:val="28"/>
          <w:szCs w:val="28"/>
        </w:rPr>
        <w:t>1</w:t>
      </w:r>
      <w:r w:rsidRPr="00423922">
        <w:rPr>
          <w:rFonts w:ascii="Times New Roman" w:hAnsi="Times New Roman" w:cs="Times New Roman"/>
          <w:b/>
          <w:bCs/>
          <w:sz w:val="28"/>
          <w:szCs w:val="28"/>
        </w:rPr>
        <w:t xml:space="preserve"> </w:t>
      </w:r>
      <w:r w:rsidR="00EE511B" w:rsidRPr="00423922">
        <w:rPr>
          <w:rFonts w:ascii="Times New Roman" w:hAnsi="Times New Roman" w:cs="Times New Roman"/>
          <w:b/>
          <w:bCs/>
          <w:sz w:val="28"/>
          <w:szCs w:val="28"/>
        </w:rPr>
        <w:t>января</w:t>
      </w:r>
      <w:r w:rsidRPr="00423922">
        <w:rPr>
          <w:rFonts w:ascii="Times New Roman" w:hAnsi="Times New Roman" w:cs="Times New Roman"/>
          <w:b/>
          <w:bCs/>
          <w:sz w:val="28"/>
          <w:szCs w:val="28"/>
        </w:rPr>
        <w:t xml:space="preserve"> 202</w:t>
      </w:r>
      <w:r w:rsidR="0024060A" w:rsidRPr="00423922">
        <w:rPr>
          <w:rFonts w:ascii="Times New Roman" w:hAnsi="Times New Roman" w:cs="Times New Roman"/>
          <w:b/>
          <w:bCs/>
          <w:sz w:val="28"/>
          <w:szCs w:val="28"/>
        </w:rPr>
        <w:t>6</w:t>
      </w:r>
      <w:r w:rsidRPr="00423922">
        <w:rPr>
          <w:rFonts w:ascii="Times New Roman" w:hAnsi="Times New Roman" w:cs="Times New Roman"/>
          <w:b/>
          <w:bCs/>
          <w:sz w:val="28"/>
          <w:szCs w:val="28"/>
        </w:rPr>
        <w:t xml:space="preserve"> г.</w:t>
      </w:r>
      <w:bookmarkEnd w:id="0"/>
      <w:r w:rsidRPr="00423922">
        <w:rPr>
          <w:rFonts w:ascii="Times New Roman" w:hAnsi="Times New Roman" w:cs="Times New Roman"/>
          <w:b/>
          <w:bCs/>
          <w:sz w:val="28"/>
          <w:szCs w:val="28"/>
        </w:rPr>
        <w:t>)</w:t>
      </w:r>
    </w:p>
    <w:p w14:paraId="34A154B7" w14:textId="40C994B8" w:rsidR="000E5B89" w:rsidRPr="00423922" w:rsidRDefault="000E5B89" w:rsidP="00423922">
      <w:pPr>
        <w:autoSpaceDE w:val="0"/>
        <w:autoSpaceDN w:val="0"/>
        <w:adjustRightInd w:val="0"/>
        <w:spacing w:after="0" w:line="360" w:lineRule="exact"/>
        <w:ind w:firstLine="709"/>
        <w:jc w:val="center"/>
        <w:rPr>
          <w:rFonts w:ascii="Times New Roman" w:hAnsi="Times New Roman" w:cs="Times New Roman"/>
          <w:b/>
          <w:bCs/>
          <w:sz w:val="28"/>
          <w:szCs w:val="28"/>
        </w:rPr>
      </w:pPr>
    </w:p>
    <w:p w14:paraId="7C2E956A" w14:textId="7AA62F1A" w:rsidR="0038060F" w:rsidRPr="00423922" w:rsidRDefault="0038060F" w:rsidP="007E3B37">
      <w:pPr>
        <w:pStyle w:val="a8"/>
        <w:spacing w:before="0" w:beforeAutospacing="0" w:after="0" w:afterAutospacing="0" w:line="360" w:lineRule="exact"/>
        <w:ind w:firstLine="709"/>
        <w:jc w:val="both"/>
        <w:rPr>
          <w:rFonts w:eastAsia="Aptos"/>
          <w:b/>
          <w:bCs/>
          <w:caps/>
          <w:kern w:val="2"/>
          <w:sz w:val="28"/>
          <w:szCs w:val="28"/>
          <w14:ligatures w14:val="standardContextual"/>
        </w:rPr>
      </w:pPr>
      <w:r w:rsidRPr="00423922">
        <w:rPr>
          <w:rFonts w:eastAsia="Aptos"/>
          <w:b/>
          <w:bCs/>
          <w:caps/>
          <w:kern w:val="2"/>
          <w:sz w:val="28"/>
          <w:szCs w:val="28"/>
          <w14:ligatures w14:val="standardContextual"/>
        </w:rPr>
        <w:t xml:space="preserve">1. </w:t>
      </w:r>
      <w:r w:rsidRPr="00423922">
        <w:rPr>
          <w:rFonts w:eastAsia="Aptos"/>
          <w:b/>
          <w:bCs/>
          <w:caps/>
          <w:kern w:val="2"/>
          <w:sz w:val="28"/>
          <w:szCs w:val="28"/>
          <w14:ligatures w14:val="standardContextual"/>
        </w:rPr>
        <w:t>Федеральный закон от 29</w:t>
      </w:r>
      <w:r w:rsidRPr="00423922">
        <w:rPr>
          <w:rFonts w:eastAsia="Aptos"/>
          <w:b/>
          <w:bCs/>
          <w:caps/>
          <w:kern w:val="2"/>
          <w:sz w:val="28"/>
          <w:szCs w:val="28"/>
          <w14:ligatures w14:val="standardContextual"/>
        </w:rPr>
        <w:t xml:space="preserve"> декабря </w:t>
      </w:r>
      <w:r w:rsidRPr="00423922">
        <w:rPr>
          <w:rFonts w:eastAsia="Aptos"/>
          <w:b/>
          <w:bCs/>
          <w:caps/>
          <w:kern w:val="2"/>
          <w:sz w:val="28"/>
          <w:szCs w:val="28"/>
          <w14:ligatures w14:val="standardContextual"/>
        </w:rPr>
        <w:t xml:space="preserve">2025 </w:t>
      </w:r>
      <w:r w:rsidRPr="00423922">
        <w:rPr>
          <w:rFonts w:eastAsia="Aptos"/>
          <w:b/>
          <w:bCs/>
          <w:caps/>
          <w:kern w:val="2"/>
          <w:sz w:val="28"/>
          <w:szCs w:val="28"/>
          <w14:ligatures w14:val="standardContextual"/>
        </w:rPr>
        <w:t>г. №</w:t>
      </w:r>
      <w:r w:rsidRPr="00423922">
        <w:rPr>
          <w:rFonts w:eastAsia="Aptos"/>
          <w:b/>
          <w:bCs/>
          <w:caps/>
          <w:kern w:val="2"/>
          <w:sz w:val="28"/>
          <w:szCs w:val="28"/>
          <w14:ligatures w14:val="standardContextual"/>
        </w:rPr>
        <w:t xml:space="preserve"> 521-ФЗ </w:t>
      </w:r>
      <w:r w:rsidRPr="00423922">
        <w:rPr>
          <w:rFonts w:eastAsia="Aptos"/>
          <w:b/>
          <w:bCs/>
          <w:caps/>
          <w:kern w:val="2"/>
          <w:sz w:val="28"/>
          <w:szCs w:val="28"/>
          <w14:ligatures w14:val="standardContextual"/>
        </w:rPr>
        <w:t>«</w:t>
      </w:r>
      <w:r w:rsidRPr="00423922">
        <w:rPr>
          <w:rFonts w:eastAsia="Aptos"/>
          <w:b/>
          <w:bCs/>
          <w:caps/>
          <w:kern w:val="2"/>
          <w:sz w:val="28"/>
          <w:szCs w:val="28"/>
          <w14:ligatures w14:val="standardContextual"/>
        </w:rPr>
        <w:t>О внесении изменений в Кодекс административного судопроизводства Российской Федерации</w:t>
      </w:r>
      <w:r w:rsidRPr="00423922">
        <w:rPr>
          <w:rFonts w:eastAsia="Aptos"/>
          <w:b/>
          <w:bCs/>
          <w:caps/>
          <w:kern w:val="2"/>
          <w:sz w:val="28"/>
          <w:szCs w:val="28"/>
          <w14:ligatures w14:val="standardContextual"/>
        </w:rPr>
        <w:t>»</w:t>
      </w:r>
    </w:p>
    <w:p w14:paraId="0D280814" w14:textId="77777777" w:rsidR="0038060F" w:rsidRPr="00423922" w:rsidRDefault="0038060F" w:rsidP="007E3B37">
      <w:pPr>
        <w:pStyle w:val="a8"/>
        <w:spacing w:before="0" w:beforeAutospacing="0" w:after="0" w:afterAutospacing="0" w:line="360" w:lineRule="exact"/>
        <w:ind w:firstLine="709"/>
        <w:jc w:val="both"/>
        <w:rPr>
          <w:sz w:val="28"/>
          <w:szCs w:val="28"/>
        </w:rPr>
      </w:pPr>
      <w:r w:rsidRPr="00423922">
        <w:rPr>
          <w:sz w:val="28"/>
          <w:szCs w:val="28"/>
        </w:rPr>
        <w:t>Суд назначит экспертизу по ходатайству участника дела лишь после того, как тот внесет за нее плату на спецсчет. Есть исключения, например случай, когда заявителя-гражданина полностью либо частично освободили от таких расходов.</w:t>
      </w:r>
    </w:p>
    <w:p w14:paraId="53CA9772" w14:textId="77777777" w:rsidR="0038060F" w:rsidRPr="00423922" w:rsidRDefault="0038060F" w:rsidP="007E3B37">
      <w:pPr>
        <w:pStyle w:val="a8"/>
        <w:spacing w:before="0" w:beforeAutospacing="0" w:after="0" w:afterAutospacing="0" w:line="360" w:lineRule="exact"/>
        <w:ind w:firstLine="709"/>
        <w:jc w:val="both"/>
        <w:rPr>
          <w:sz w:val="28"/>
          <w:szCs w:val="28"/>
        </w:rPr>
      </w:pPr>
      <w:r w:rsidRPr="00423922">
        <w:rPr>
          <w:sz w:val="28"/>
          <w:szCs w:val="28"/>
        </w:rPr>
        <w:t xml:space="preserve">Если деньги не поступят в срок, который определил суд, он сможет отклонить ходатайство об экспертизе. Когда дело нельзя разрешить с помощью иных доказательств сторон, суд вправе назначить ее сам. </w:t>
      </w:r>
    </w:p>
    <w:p w14:paraId="1E20C263" w14:textId="77777777" w:rsidR="0038060F" w:rsidRPr="00423922" w:rsidRDefault="0038060F" w:rsidP="007E3B37">
      <w:pPr>
        <w:pStyle w:val="a8"/>
        <w:spacing w:before="0" w:beforeAutospacing="0" w:after="0" w:afterAutospacing="0" w:line="360" w:lineRule="exact"/>
        <w:ind w:firstLine="709"/>
        <w:jc w:val="both"/>
        <w:rPr>
          <w:sz w:val="28"/>
          <w:szCs w:val="28"/>
        </w:rPr>
      </w:pPr>
      <w:r w:rsidRPr="00423922">
        <w:rPr>
          <w:sz w:val="28"/>
          <w:szCs w:val="28"/>
        </w:rPr>
        <w:t xml:space="preserve">Есть и другие изменения. </w:t>
      </w:r>
    </w:p>
    <w:p w14:paraId="7E35E3EA" w14:textId="77777777" w:rsidR="0038060F" w:rsidRPr="00423922" w:rsidRDefault="0038060F" w:rsidP="007E3B37">
      <w:pPr>
        <w:pStyle w:val="a8"/>
        <w:spacing w:before="0" w:beforeAutospacing="0" w:after="0" w:afterAutospacing="0" w:line="360" w:lineRule="exact"/>
        <w:ind w:firstLine="709"/>
        <w:jc w:val="both"/>
        <w:rPr>
          <w:rFonts w:eastAsia="Aptos"/>
          <w:b/>
          <w:bCs/>
          <w:caps/>
          <w:kern w:val="2"/>
          <w:sz w:val="28"/>
          <w:szCs w:val="28"/>
          <w14:ligatures w14:val="standardContextual"/>
        </w:rPr>
      </w:pPr>
    </w:p>
    <w:p w14:paraId="4BFCC54D" w14:textId="2880631B" w:rsidR="0038060F" w:rsidRPr="00423922" w:rsidRDefault="0038060F" w:rsidP="007E3B37">
      <w:pPr>
        <w:pStyle w:val="a8"/>
        <w:spacing w:before="0" w:beforeAutospacing="0" w:after="0" w:afterAutospacing="0" w:line="360" w:lineRule="exact"/>
        <w:ind w:firstLine="709"/>
        <w:jc w:val="both"/>
        <w:rPr>
          <w:rFonts w:eastAsia="Aptos"/>
          <w:b/>
          <w:bCs/>
          <w:caps/>
          <w:kern w:val="2"/>
          <w:sz w:val="28"/>
          <w:szCs w:val="28"/>
          <w14:ligatures w14:val="standardContextual"/>
        </w:rPr>
      </w:pPr>
      <w:r w:rsidRPr="00423922">
        <w:rPr>
          <w:rFonts w:eastAsia="Aptos"/>
          <w:b/>
          <w:bCs/>
          <w:caps/>
          <w:kern w:val="2"/>
          <w:sz w:val="28"/>
          <w:szCs w:val="28"/>
          <w14:ligatures w14:val="standardContextual"/>
        </w:rPr>
        <w:t xml:space="preserve">2. </w:t>
      </w:r>
      <w:r w:rsidRPr="00423922">
        <w:rPr>
          <w:rFonts w:eastAsia="Aptos"/>
          <w:b/>
          <w:bCs/>
          <w:caps/>
          <w:kern w:val="2"/>
          <w:sz w:val="28"/>
          <w:szCs w:val="28"/>
          <w14:ligatures w14:val="standardContextual"/>
        </w:rPr>
        <w:t>Федеральный закон от 29</w:t>
      </w:r>
      <w:r w:rsidRPr="00423922">
        <w:rPr>
          <w:rFonts w:eastAsia="Aptos"/>
          <w:b/>
          <w:bCs/>
          <w:caps/>
          <w:kern w:val="2"/>
          <w:sz w:val="28"/>
          <w:szCs w:val="28"/>
          <w14:ligatures w14:val="standardContextual"/>
        </w:rPr>
        <w:t xml:space="preserve"> декабря </w:t>
      </w:r>
      <w:r w:rsidRPr="00423922">
        <w:rPr>
          <w:rFonts w:eastAsia="Aptos"/>
          <w:b/>
          <w:bCs/>
          <w:caps/>
          <w:kern w:val="2"/>
          <w:sz w:val="28"/>
          <w:szCs w:val="28"/>
          <w14:ligatures w14:val="standardContextual"/>
        </w:rPr>
        <w:t xml:space="preserve">2025 </w:t>
      </w:r>
      <w:r w:rsidRPr="00423922">
        <w:rPr>
          <w:rFonts w:eastAsia="Aptos"/>
          <w:b/>
          <w:bCs/>
          <w:caps/>
          <w:kern w:val="2"/>
          <w:sz w:val="28"/>
          <w:szCs w:val="28"/>
          <w14:ligatures w14:val="standardContextual"/>
        </w:rPr>
        <w:t>г. №</w:t>
      </w:r>
      <w:r w:rsidRPr="00423922">
        <w:rPr>
          <w:rFonts w:eastAsia="Aptos"/>
          <w:b/>
          <w:bCs/>
          <w:caps/>
          <w:kern w:val="2"/>
          <w:sz w:val="28"/>
          <w:szCs w:val="28"/>
          <w14:ligatures w14:val="standardContextual"/>
        </w:rPr>
        <w:t xml:space="preserve"> 567-ФЗ </w:t>
      </w:r>
      <w:r w:rsidRPr="00423922">
        <w:rPr>
          <w:rFonts w:eastAsia="Aptos"/>
          <w:b/>
          <w:bCs/>
          <w:caps/>
          <w:kern w:val="2"/>
          <w:sz w:val="28"/>
          <w:szCs w:val="28"/>
          <w14:ligatures w14:val="standardContextual"/>
        </w:rPr>
        <w:t>«</w:t>
      </w:r>
      <w:r w:rsidRPr="00423922">
        <w:rPr>
          <w:rFonts w:eastAsia="Aptos"/>
          <w:b/>
          <w:bCs/>
          <w:caps/>
          <w:kern w:val="2"/>
          <w:sz w:val="28"/>
          <w:szCs w:val="28"/>
          <w14:ligatures w14:val="standardContextual"/>
        </w:rPr>
        <w:t xml:space="preserve">О внесении изменений в Федеральный закон </w:t>
      </w:r>
      <w:r w:rsidRPr="00423922">
        <w:rPr>
          <w:rFonts w:eastAsia="Aptos"/>
          <w:b/>
          <w:bCs/>
          <w:caps/>
          <w:kern w:val="2"/>
          <w:sz w:val="28"/>
          <w:szCs w:val="28"/>
          <w14:ligatures w14:val="standardContextual"/>
        </w:rPr>
        <w:t>«</w:t>
      </w:r>
      <w:r w:rsidRPr="00423922">
        <w:rPr>
          <w:rFonts w:eastAsia="Aptos"/>
          <w:b/>
          <w:bCs/>
          <w:caps/>
          <w:kern w:val="2"/>
          <w:sz w:val="28"/>
          <w:szCs w:val="28"/>
          <w14:ligatures w14:val="standardContextual"/>
        </w:rPr>
        <w:t>О государственном контроле (надзоре) и муниципальном контроле в Российской Федерации</w:t>
      </w:r>
      <w:r w:rsidRPr="00423922">
        <w:rPr>
          <w:rFonts w:eastAsia="Aptos"/>
          <w:b/>
          <w:bCs/>
          <w:caps/>
          <w:kern w:val="2"/>
          <w:sz w:val="28"/>
          <w:szCs w:val="28"/>
          <w14:ligatures w14:val="standardContextual"/>
        </w:rPr>
        <w:t>»</w:t>
      </w:r>
    </w:p>
    <w:p w14:paraId="50381EA2" w14:textId="77777777" w:rsidR="0038060F" w:rsidRPr="0038060F" w:rsidRDefault="0038060F" w:rsidP="007E3B37">
      <w:pPr>
        <w:spacing w:after="0" w:line="360" w:lineRule="exact"/>
        <w:ind w:firstLine="709"/>
        <w:jc w:val="both"/>
        <w:rPr>
          <w:rFonts w:ascii="Times New Roman" w:eastAsia="Times New Roman" w:hAnsi="Times New Roman" w:cs="Times New Roman"/>
          <w:sz w:val="28"/>
          <w:szCs w:val="28"/>
          <w:lang w:eastAsia="ru-RU"/>
        </w:rPr>
      </w:pPr>
      <w:r w:rsidRPr="0038060F">
        <w:rPr>
          <w:rFonts w:ascii="Times New Roman" w:eastAsia="Times New Roman" w:hAnsi="Times New Roman" w:cs="Times New Roman"/>
          <w:sz w:val="28"/>
          <w:szCs w:val="28"/>
          <w:lang w:eastAsia="ru-RU"/>
        </w:rPr>
        <w:t xml:space="preserve">Контролируемых лиц теперь уведомляют о проведении обязательного профилактического визита не позже 24 часов до его начала. </w:t>
      </w:r>
    </w:p>
    <w:p w14:paraId="13FC1E85" w14:textId="77777777" w:rsidR="0038060F" w:rsidRPr="0038060F" w:rsidRDefault="0038060F" w:rsidP="007E3B37">
      <w:pPr>
        <w:spacing w:after="0" w:line="360" w:lineRule="exact"/>
        <w:ind w:firstLine="709"/>
        <w:jc w:val="both"/>
        <w:rPr>
          <w:rFonts w:ascii="Times New Roman" w:eastAsia="Times New Roman" w:hAnsi="Times New Roman" w:cs="Times New Roman"/>
          <w:sz w:val="28"/>
          <w:szCs w:val="28"/>
          <w:lang w:eastAsia="ru-RU"/>
        </w:rPr>
      </w:pPr>
      <w:r w:rsidRPr="0038060F">
        <w:rPr>
          <w:rFonts w:ascii="Times New Roman" w:eastAsia="Times New Roman" w:hAnsi="Times New Roman" w:cs="Times New Roman"/>
          <w:sz w:val="28"/>
          <w:szCs w:val="28"/>
          <w:lang w:eastAsia="ru-RU"/>
        </w:rPr>
        <w:t xml:space="preserve">Появилось новое основание для контрольного мероприятия - выявление признаков нарушения обязательных требований с помощью автоматических средств фиксации. Речь идет об устройствах с функциями фото- и видеосъемки. </w:t>
      </w:r>
    </w:p>
    <w:p w14:paraId="4A2B9CD9" w14:textId="0DCACFAA" w:rsidR="0038060F" w:rsidRPr="0038060F" w:rsidRDefault="0038060F" w:rsidP="007E3B37">
      <w:pPr>
        <w:spacing w:after="0" w:line="360" w:lineRule="exact"/>
        <w:ind w:firstLine="709"/>
        <w:jc w:val="both"/>
        <w:rPr>
          <w:rFonts w:ascii="Times New Roman" w:eastAsia="Times New Roman" w:hAnsi="Times New Roman" w:cs="Times New Roman"/>
          <w:sz w:val="28"/>
          <w:szCs w:val="28"/>
          <w:lang w:eastAsia="ru-RU"/>
        </w:rPr>
      </w:pPr>
      <w:r w:rsidRPr="0038060F">
        <w:rPr>
          <w:rFonts w:ascii="Times New Roman" w:eastAsia="Times New Roman" w:hAnsi="Times New Roman" w:cs="Times New Roman"/>
          <w:sz w:val="28"/>
          <w:szCs w:val="28"/>
          <w:lang w:eastAsia="ru-RU"/>
        </w:rPr>
        <w:t xml:space="preserve">На СОНКО, которые есть в реестре, распространяются правила о сроках выездной проверки для малого и микробизнеса. Основной критерий - среднесписочная численность работников за предшествующий календарный год. Если сотрудников до 100 человек, время взаимодействия в период проверки - максимум 50 ч, не больше 15 человек - 15 ч. </w:t>
      </w:r>
    </w:p>
    <w:p w14:paraId="062D0415" w14:textId="77777777" w:rsidR="0038060F" w:rsidRPr="00423922" w:rsidRDefault="0038060F" w:rsidP="007E3B37">
      <w:pPr>
        <w:spacing w:after="0" w:line="360" w:lineRule="exact"/>
        <w:ind w:firstLine="709"/>
        <w:jc w:val="both"/>
        <w:rPr>
          <w:rFonts w:ascii="Times New Roman" w:eastAsia="Times New Roman" w:hAnsi="Times New Roman" w:cs="Times New Roman"/>
          <w:sz w:val="28"/>
          <w:szCs w:val="28"/>
          <w:lang w:eastAsia="ru-RU"/>
        </w:rPr>
      </w:pPr>
      <w:r w:rsidRPr="0038060F">
        <w:rPr>
          <w:rFonts w:ascii="Times New Roman" w:eastAsia="Times New Roman" w:hAnsi="Times New Roman" w:cs="Times New Roman"/>
          <w:sz w:val="28"/>
          <w:szCs w:val="28"/>
          <w:lang w:eastAsia="ru-RU"/>
        </w:rPr>
        <w:t xml:space="preserve">Вступили в силу и другие изменения. </w:t>
      </w:r>
    </w:p>
    <w:p w14:paraId="2CF3FF23" w14:textId="77777777" w:rsidR="0038060F" w:rsidRPr="00423922" w:rsidRDefault="0038060F" w:rsidP="007E3B37">
      <w:pPr>
        <w:spacing w:after="0" w:line="360" w:lineRule="exact"/>
        <w:ind w:firstLine="709"/>
        <w:jc w:val="both"/>
        <w:rPr>
          <w:rFonts w:ascii="Times New Roman" w:eastAsia="Times New Roman" w:hAnsi="Times New Roman" w:cs="Times New Roman"/>
          <w:sz w:val="28"/>
          <w:szCs w:val="28"/>
          <w:lang w:eastAsia="ru-RU"/>
        </w:rPr>
      </w:pPr>
    </w:p>
    <w:p w14:paraId="411D8C81" w14:textId="71CD3C65" w:rsidR="00972A4D" w:rsidRPr="00972A4D" w:rsidRDefault="0038060F" w:rsidP="00972A4D">
      <w:pPr>
        <w:pStyle w:val="a8"/>
        <w:spacing w:before="0" w:beforeAutospacing="0" w:after="0" w:afterAutospacing="0" w:line="288" w:lineRule="atLeast"/>
        <w:ind w:firstLine="540"/>
        <w:jc w:val="both"/>
      </w:pPr>
      <w:r w:rsidRPr="00423922">
        <w:rPr>
          <w:b/>
          <w:bCs/>
          <w:caps/>
          <w:sz w:val="28"/>
          <w:szCs w:val="28"/>
        </w:rPr>
        <w:t xml:space="preserve">3. </w:t>
      </w:r>
      <w:r w:rsidRPr="00423922">
        <w:rPr>
          <w:b/>
          <w:bCs/>
          <w:caps/>
          <w:sz w:val="28"/>
          <w:szCs w:val="28"/>
        </w:rPr>
        <w:t>Проект Федерального закона № 872405-8 «О внесении изменений в Федеральный закон «Об основах государственного регулирования торговой деятельности в Российской Федерации» (О внесении изменений в статью 10 Федерального закона «Об основах государственного</w:t>
      </w:r>
      <w:r w:rsidRPr="00423922">
        <w:rPr>
          <w:b/>
          <w:bCs/>
          <w:sz w:val="28"/>
          <w:szCs w:val="28"/>
        </w:rPr>
        <w:t xml:space="preserve"> </w:t>
      </w:r>
      <w:r w:rsidRPr="00423922">
        <w:rPr>
          <w:b/>
          <w:bCs/>
          <w:caps/>
          <w:sz w:val="28"/>
          <w:szCs w:val="28"/>
        </w:rPr>
        <w:t>регулирования торговой деятельности в Российской Федерации»)</w:t>
      </w:r>
      <w:r w:rsidR="00972A4D">
        <w:rPr>
          <w:b/>
          <w:bCs/>
          <w:caps/>
          <w:sz w:val="28"/>
          <w:szCs w:val="28"/>
        </w:rPr>
        <w:t>, принят во втором чтении (27 января 2026 г.)</w:t>
      </w:r>
    </w:p>
    <w:p w14:paraId="464D484D" w14:textId="25A4144C" w:rsidR="00972A4D" w:rsidRDefault="00972A4D" w:rsidP="00972A4D">
      <w:pPr>
        <w:pStyle w:val="a8"/>
        <w:spacing w:before="0" w:beforeAutospacing="0" w:after="0" w:afterAutospacing="0" w:line="288" w:lineRule="atLeast"/>
        <w:ind w:firstLine="540"/>
        <w:jc w:val="both"/>
      </w:pPr>
    </w:p>
    <w:p w14:paraId="059BEB64" w14:textId="1DDB9122"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b/>
          <w:bCs/>
          <w:caps/>
          <w:sz w:val="28"/>
          <w:szCs w:val="28"/>
        </w:rPr>
      </w:pPr>
    </w:p>
    <w:p w14:paraId="49A2183F"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Законопроектом вносятся поправки в Федеральный закон от 28 декабря 2009 года № 381-ФЗ «Об основах государственного регулирования торговой деятельности в Российской Федерации». </w:t>
      </w:r>
    </w:p>
    <w:p w14:paraId="6A88F636" w14:textId="726FA7FC"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Предлагаемыми изменениями уточняется понятийный аппарат, закрепляется термин </w:t>
      </w:r>
      <w:r w:rsidRPr="00423922">
        <w:rPr>
          <w:rFonts w:ascii="Times New Roman" w:hAnsi="Times New Roman" w:cs="Times New Roman"/>
          <w:sz w:val="28"/>
          <w:szCs w:val="28"/>
        </w:rPr>
        <w:t>«</w:t>
      </w:r>
      <w:r w:rsidRPr="00423922">
        <w:rPr>
          <w:rFonts w:ascii="Times New Roman" w:hAnsi="Times New Roman" w:cs="Times New Roman"/>
          <w:sz w:val="28"/>
          <w:szCs w:val="28"/>
        </w:rPr>
        <w:t>мобильный торговый объект</w:t>
      </w:r>
      <w:r w:rsidRPr="00423922">
        <w:rPr>
          <w:rFonts w:ascii="Times New Roman" w:hAnsi="Times New Roman" w:cs="Times New Roman"/>
          <w:sz w:val="28"/>
          <w:szCs w:val="28"/>
        </w:rPr>
        <w:t>»</w:t>
      </w:r>
      <w:r w:rsidRPr="00423922">
        <w:rPr>
          <w:rFonts w:ascii="Times New Roman" w:hAnsi="Times New Roman" w:cs="Times New Roman"/>
          <w:sz w:val="28"/>
          <w:szCs w:val="28"/>
        </w:rPr>
        <w:t xml:space="preserve"> - нестационарный торговый объект, представляющий собой транспортное средство, включая механическое транспортное средство или транспортное средство, предназначенное для движения в составе с механическим транспортным средством (в том числе автолавка, автомагазин, автоприцеп, автоцистерна). Схемой размещения нестационарных торговых объектов может предусматриваться более одного места размещения мобильного торгового объекта, при этом должен быть установлен период времени размещения мобильного объекта в конкретном месте. </w:t>
      </w:r>
    </w:p>
    <w:p w14:paraId="235A60D7"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Поправками закрепляется, что нормативными правовыми актами субъектов РФ могут быть предусмотрены особенности использования мобильных торговых объектов, однако не допускается установление требований к самим транспортным средствам. </w:t>
      </w:r>
    </w:p>
    <w:p w14:paraId="5D41EF2C"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Кроме того, согласно тексту законопроекта, региональные власти будут вправе устанавливать требование о включении нестационарных торговых объектов, размещенных на земельных участках, находящихся в частной собственности, в схему размещения нестационарных торговых объектов. В указанном случае осуществление торговой деятельности в таком нестационарном торговом объекте будет возможно лишь при условии его включения в схему размещения нестационарных торговых объектов. </w:t>
      </w:r>
    </w:p>
    <w:p w14:paraId="4581475F"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Подать заявление на включение в схему размещения нестационарных торговых объектов, размещенных на частных землях, смогут юридические лица, индивидуальные предприниматели, а также физические лица, применяющие специальный налоговый режим «Налог на профессиональный доход» (в течение срока проведения соответствующего эксперимента), которые намереваются использовать нестационарные торговые объекты для осуществления торговой деятельности. Определены требования к указанному заявлению и основания для отказа во включении нестационарного торгового объекта, размещенного на частной земле, в схему размещения. </w:t>
      </w:r>
    </w:p>
    <w:p w14:paraId="0B9BDFEE"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Законопроектом предусмотрены и иные нововведения. </w:t>
      </w:r>
    </w:p>
    <w:p w14:paraId="75EA6DD2" w14:textId="77777777" w:rsidR="0038060F" w:rsidRPr="00423922"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p>
    <w:p w14:paraId="3D84129E" w14:textId="687526F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caps/>
          <w:sz w:val="28"/>
          <w:szCs w:val="28"/>
        </w:rPr>
      </w:pPr>
      <w:r w:rsidRPr="00423922">
        <w:rPr>
          <w:rFonts w:ascii="Times New Roman" w:hAnsi="Times New Roman" w:cs="Times New Roman"/>
          <w:b/>
          <w:bCs/>
          <w:caps/>
          <w:sz w:val="28"/>
          <w:szCs w:val="28"/>
        </w:rPr>
        <w:t xml:space="preserve">4. </w:t>
      </w:r>
      <w:r w:rsidRPr="008A1CFF">
        <w:rPr>
          <w:rFonts w:ascii="Times New Roman" w:hAnsi="Times New Roman" w:cs="Times New Roman"/>
          <w:b/>
          <w:bCs/>
          <w:caps/>
          <w:sz w:val="28"/>
          <w:szCs w:val="28"/>
        </w:rPr>
        <w:t xml:space="preserve">Проект Федерального закона </w:t>
      </w:r>
      <w:r w:rsidRPr="00423922">
        <w:rPr>
          <w:rFonts w:ascii="Times New Roman" w:hAnsi="Times New Roman" w:cs="Times New Roman"/>
          <w:b/>
          <w:bCs/>
          <w:caps/>
          <w:sz w:val="28"/>
          <w:szCs w:val="28"/>
        </w:rPr>
        <w:t>№</w:t>
      </w:r>
      <w:r w:rsidRPr="008A1CFF">
        <w:rPr>
          <w:rFonts w:ascii="Times New Roman" w:hAnsi="Times New Roman" w:cs="Times New Roman"/>
          <w:b/>
          <w:bCs/>
          <w:caps/>
          <w:sz w:val="28"/>
          <w:szCs w:val="28"/>
        </w:rPr>
        <w:t xml:space="preserve"> 1071997-8</w:t>
      </w:r>
      <w:r w:rsidRPr="008A1CFF">
        <w:rPr>
          <w:rFonts w:ascii="Times New Roman" w:hAnsi="Times New Roman" w:cs="Times New Roman"/>
          <w:caps/>
          <w:sz w:val="28"/>
          <w:szCs w:val="28"/>
        </w:rPr>
        <w:t xml:space="preserve"> </w:t>
      </w:r>
      <w:r w:rsidRPr="008A1CFF">
        <w:rPr>
          <w:rFonts w:ascii="Times New Roman" w:hAnsi="Times New Roman" w:cs="Times New Roman"/>
          <w:b/>
          <w:bCs/>
          <w:caps/>
          <w:sz w:val="28"/>
          <w:szCs w:val="28"/>
        </w:rPr>
        <w:t xml:space="preserve">о штрафах за нарушение правил эксплуатации объектов </w:t>
      </w:r>
      <w:r w:rsidR="00972A4D" w:rsidRPr="008A1CFF">
        <w:rPr>
          <w:rFonts w:ascii="Times New Roman" w:hAnsi="Times New Roman" w:cs="Times New Roman"/>
          <w:b/>
          <w:bCs/>
          <w:caps/>
          <w:sz w:val="28"/>
          <w:szCs w:val="28"/>
        </w:rPr>
        <w:t>критической информационной инфраструктуры</w:t>
      </w:r>
      <w:r w:rsidR="00972A4D" w:rsidRPr="00972A4D">
        <w:rPr>
          <w:rFonts w:ascii="Times New Roman" w:hAnsi="Times New Roman" w:cs="Times New Roman"/>
          <w:b/>
          <w:bCs/>
          <w:caps/>
          <w:sz w:val="28"/>
          <w:szCs w:val="28"/>
        </w:rPr>
        <w:t xml:space="preserve"> </w:t>
      </w:r>
      <w:r w:rsidRPr="008A1CFF">
        <w:rPr>
          <w:rFonts w:ascii="Times New Roman" w:hAnsi="Times New Roman" w:cs="Times New Roman"/>
          <w:b/>
          <w:bCs/>
          <w:caps/>
          <w:sz w:val="28"/>
          <w:szCs w:val="28"/>
        </w:rPr>
        <w:t>принят в первом чтении (30</w:t>
      </w:r>
      <w:r w:rsidRPr="00423922">
        <w:rPr>
          <w:rFonts w:ascii="Times New Roman" w:hAnsi="Times New Roman" w:cs="Times New Roman"/>
          <w:b/>
          <w:bCs/>
          <w:caps/>
          <w:sz w:val="28"/>
          <w:szCs w:val="28"/>
        </w:rPr>
        <w:t xml:space="preserve"> января </w:t>
      </w:r>
      <w:r w:rsidRPr="008A1CFF">
        <w:rPr>
          <w:rFonts w:ascii="Times New Roman" w:hAnsi="Times New Roman" w:cs="Times New Roman"/>
          <w:b/>
          <w:bCs/>
          <w:caps/>
          <w:sz w:val="28"/>
          <w:szCs w:val="28"/>
        </w:rPr>
        <w:t>2026</w:t>
      </w:r>
      <w:r w:rsidRPr="00423922">
        <w:rPr>
          <w:rFonts w:ascii="Times New Roman" w:hAnsi="Times New Roman" w:cs="Times New Roman"/>
          <w:b/>
          <w:bCs/>
          <w:caps/>
          <w:sz w:val="28"/>
          <w:szCs w:val="28"/>
        </w:rPr>
        <w:t xml:space="preserve"> г.</w:t>
      </w:r>
      <w:r w:rsidRPr="008A1CFF">
        <w:rPr>
          <w:rFonts w:ascii="Times New Roman" w:hAnsi="Times New Roman" w:cs="Times New Roman"/>
          <w:b/>
          <w:bCs/>
          <w:caps/>
          <w:sz w:val="28"/>
          <w:szCs w:val="28"/>
        </w:rPr>
        <w:t>)</w:t>
      </w:r>
    </w:p>
    <w:p w14:paraId="0ECAFEA9"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lastRenderedPageBreak/>
        <w:t xml:space="preserve">За несоблюдение правил эксплуатации объекта </w:t>
      </w:r>
      <w:bookmarkStart w:id="1" w:name="_Hlk221788179"/>
      <w:r w:rsidRPr="008A1CFF">
        <w:rPr>
          <w:rFonts w:ascii="Times New Roman" w:hAnsi="Times New Roman" w:cs="Times New Roman"/>
          <w:sz w:val="28"/>
          <w:szCs w:val="28"/>
        </w:rPr>
        <w:t>критической информационной инфраструктуры</w:t>
      </w:r>
      <w:bookmarkEnd w:id="1"/>
      <w:r w:rsidRPr="008A1CFF">
        <w:rPr>
          <w:rFonts w:ascii="Times New Roman" w:hAnsi="Times New Roman" w:cs="Times New Roman"/>
          <w:sz w:val="28"/>
          <w:szCs w:val="28"/>
        </w:rPr>
        <w:t xml:space="preserve"> (КИИ) или доступа к нему планируют наказывать должностных лиц на сумму от 10 тыс. до 50 тыс. руб. Компаниям будет грозить штраф от 100 тыс. до 500 тыс. руб. </w:t>
      </w:r>
    </w:p>
    <w:p w14:paraId="1C9842E8"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Речь идет о таких объектах: </w:t>
      </w:r>
    </w:p>
    <w:p w14:paraId="184B89E3"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 информсистемы; </w:t>
      </w:r>
    </w:p>
    <w:p w14:paraId="24F58782"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 сети электросвязи; </w:t>
      </w:r>
    </w:p>
    <w:p w14:paraId="7A5C48FC"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 автоматизированные системы управления; </w:t>
      </w:r>
    </w:p>
    <w:p w14:paraId="4168E5AE"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 информационно-телекоммуникационные сети; </w:t>
      </w:r>
    </w:p>
    <w:p w14:paraId="7040210B"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 средства хранения, обработки или передачи охраняемых компьютерных данных, которые содержатся в КИИ. </w:t>
      </w:r>
    </w:p>
    <w:p w14:paraId="6740A538" w14:textId="041E10A0"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Штрафы станут применять к деяниям, которые не подпадают под статью </w:t>
      </w:r>
      <w:r w:rsidR="00423922">
        <w:rPr>
          <w:rFonts w:ascii="Times New Roman" w:hAnsi="Times New Roman" w:cs="Times New Roman"/>
          <w:sz w:val="28"/>
          <w:szCs w:val="28"/>
        </w:rPr>
        <w:t>Кодекса об административных правонарушениях</w:t>
      </w:r>
      <w:r w:rsidRPr="008A1CFF">
        <w:rPr>
          <w:rFonts w:ascii="Times New Roman" w:hAnsi="Times New Roman" w:cs="Times New Roman"/>
          <w:sz w:val="28"/>
          <w:szCs w:val="28"/>
        </w:rPr>
        <w:t xml:space="preserve"> </w:t>
      </w:r>
      <w:r w:rsidR="00423922">
        <w:rPr>
          <w:rFonts w:ascii="Times New Roman" w:hAnsi="Times New Roman" w:cs="Times New Roman"/>
          <w:sz w:val="28"/>
          <w:szCs w:val="28"/>
        </w:rPr>
        <w:t>Российской Федерации</w:t>
      </w:r>
      <w:r w:rsidRPr="008A1CFF">
        <w:rPr>
          <w:rFonts w:ascii="Times New Roman" w:hAnsi="Times New Roman" w:cs="Times New Roman"/>
          <w:sz w:val="28"/>
          <w:szCs w:val="28"/>
        </w:rPr>
        <w:t xml:space="preserve"> о нарушении требований безопасности КИИ. Также не должно быть признаков преступления. </w:t>
      </w:r>
    </w:p>
    <w:p w14:paraId="360F49DC" w14:textId="77777777"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Срок давности для привлечения к ответственности составит 1 год с даты нарушения. </w:t>
      </w:r>
    </w:p>
    <w:p w14:paraId="039141B6" w14:textId="6E596C15" w:rsidR="0038060F" w:rsidRPr="008A1CFF" w:rsidRDefault="0038060F" w:rsidP="007E3B37">
      <w:pPr>
        <w:autoSpaceDE w:val="0"/>
        <w:autoSpaceDN w:val="0"/>
        <w:adjustRightInd w:val="0"/>
        <w:spacing w:after="0" w:line="360" w:lineRule="exact"/>
        <w:ind w:firstLine="709"/>
        <w:jc w:val="both"/>
        <w:rPr>
          <w:rFonts w:ascii="Times New Roman" w:hAnsi="Times New Roman" w:cs="Times New Roman"/>
          <w:sz w:val="28"/>
          <w:szCs w:val="28"/>
        </w:rPr>
      </w:pPr>
      <w:r w:rsidRPr="008A1CFF">
        <w:rPr>
          <w:rFonts w:ascii="Times New Roman" w:hAnsi="Times New Roman" w:cs="Times New Roman"/>
          <w:sz w:val="28"/>
          <w:szCs w:val="28"/>
        </w:rPr>
        <w:t xml:space="preserve">Есть и другие поправки. </w:t>
      </w:r>
    </w:p>
    <w:p w14:paraId="21635CBD" w14:textId="77777777" w:rsidR="0038060F" w:rsidRPr="00423922" w:rsidRDefault="0038060F"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p>
    <w:p w14:paraId="752EBC28" w14:textId="277B3D1B" w:rsidR="00EE511B" w:rsidRPr="00423922" w:rsidRDefault="0038060F"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 xml:space="preserve">5. </w:t>
      </w:r>
      <w:r w:rsidR="00EE511B" w:rsidRPr="00423922">
        <w:rPr>
          <w:rFonts w:ascii="Times New Roman" w:eastAsia="Aptos" w:hAnsi="Times New Roman" w:cs="Times New Roman"/>
          <w:b/>
          <w:bCs/>
          <w:caps/>
          <w:kern w:val="2"/>
          <w:sz w:val="28"/>
          <w:szCs w:val="28"/>
          <w14:ligatures w14:val="standardContextual"/>
        </w:rPr>
        <w:t>Распоряжение Правительства РФ от 29 ДЕКАБРЯ 2025 Г. № 4147-р «Об утверждении плана мероприятий на 2026 - 2028 годы по реализации Концепции устойчивого развития коренных малочисленных народов Севера, Сибири и Дальнего Востока Российской Федерации на период до 2036 года»</w:t>
      </w:r>
    </w:p>
    <w:p w14:paraId="724788C9" w14:textId="39D68164"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Установлен план мероприятий на 2026 - 2028 годы по реализации Концепции устойчивого развития коренных малочисленных народов Севера, Сибири и Дальнего Востока Российской Федерации на период до 2036 года</w:t>
      </w:r>
    </w:p>
    <w:p w14:paraId="3D5788DF" w14:textId="67DD47EF"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Предусмотрены следующие мероприятия, в том числе: </w:t>
      </w:r>
    </w:p>
    <w:p w14:paraId="622AA49B"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разработка проекта федерального закона, направленного на уточнение полномочий федеральных органов государственной власти, органов государственной власти субъектов РФ и органов местного самоуправления в сфере решения вопросов защиты прав коренных малочисленных народов Севера; </w:t>
      </w:r>
    </w:p>
    <w:p w14:paraId="18F9C719"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разработка проекта федерального закона, направленного на установление единых принципов организации деятельности уполномоченных по правам коренных малочисленных народов в субъектах РФ; </w:t>
      </w:r>
    </w:p>
    <w:p w14:paraId="4157B611"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реализация мероприятий по повышению надежности электросетевого комплекса (объектов электросетевого хозяйства) в местах традиционного проживания и традиционной хозяйственной деятельности коренных малочисленных народов Севера; </w:t>
      </w:r>
    </w:p>
    <w:p w14:paraId="5CF0758D" w14:textId="122DBBD8"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lastRenderedPageBreak/>
        <w:t xml:space="preserve">подключение населенных пунктов в местах традиционного проживания и традиционной хозяйственной деятельности коренных малочисленных народов Севера к сети </w:t>
      </w:r>
      <w:r w:rsidR="0038060F"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Интернет</w:t>
      </w:r>
      <w:r w:rsidR="0038060F"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w:t>
      </w:r>
    </w:p>
    <w:p w14:paraId="0B2D13E8" w14:textId="1DF16459" w:rsidR="008A1CFF" w:rsidRPr="008A1CFF"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Настоящее распоряжение вступает в силу с 1 января 2026 г. </w:t>
      </w:r>
    </w:p>
    <w:p w14:paraId="5B6169D8" w14:textId="1F2052D7" w:rsidR="008A1CFF" w:rsidRPr="008A1CFF" w:rsidRDefault="008A1CFF" w:rsidP="007E3B37">
      <w:pPr>
        <w:autoSpaceDE w:val="0"/>
        <w:autoSpaceDN w:val="0"/>
        <w:adjustRightInd w:val="0"/>
        <w:spacing w:after="0" w:line="360" w:lineRule="exact"/>
        <w:ind w:firstLine="709"/>
        <w:jc w:val="both"/>
        <w:rPr>
          <w:rFonts w:ascii="Times New Roman" w:hAnsi="Times New Roman" w:cs="Times New Roman"/>
          <w:sz w:val="28"/>
          <w:szCs w:val="28"/>
        </w:rPr>
      </w:pPr>
    </w:p>
    <w:p w14:paraId="5B9037C9" w14:textId="27B15018" w:rsidR="00EE511B" w:rsidRPr="00423922" w:rsidRDefault="0038060F"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6</w:t>
      </w:r>
      <w:r w:rsidR="00EE511B" w:rsidRPr="00423922">
        <w:rPr>
          <w:rFonts w:ascii="Times New Roman" w:hAnsi="Times New Roman" w:cs="Times New Roman"/>
          <w:b/>
          <w:bCs/>
          <w:caps/>
          <w:sz w:val="28"/>
          <w:szCs w:val="28"/>
        </w:rPr>
        <w:t xml:space="preserve">. Приказ Судебного департамента при Верховном Суде РФ от 28 октября 2025 г. № 192«О внесении изменений в некоторые акты Судебного департамента при Верховном Суде Российской Федерации» </w:t>
      </w:r>
    </w:p>
    <w:p w14:paraId="46B904DE" w14:textId="77777777" w:rsidR="00EE511B" w:rsidRPr="00423922" w:rsidRDefault="00EE511B"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В целях реализации Федерального закона от 07 апреля 2025 г. № 59-ФЗ «О внесении изменений в Кодекс Российской Федерации об административных правонарушениях» внесены изменения в Порядок подачи в федеральные суды общей юрисдикции документов в электронном виде, в том числе в форме электронного документа, а также в Порядок подачи мировым судьям документов в электронном виде, в том числе в форме электронного документа. </w:t>
      </w:r>
    </w:p>
    <w:p w14:paraId="42FC933D" w14:textId="77777777" w:rsidR="00EE511B" w:rsidRPr="00423922" w:rsidRDefault="00EE511B"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Настоящий приказ вступает в силу со дня его подписания. </w:t>
      </w:r>
    </w:p>
    <w:p w14:paraId="2C6A0FDE" w14:textId="77777777" w:rsidR="00EE511B" w:rsidRPr="00423922" w:rsidRDefault="00EE511B" w:rsidP="007E3B37">
      <w:pPr>
        <w:autoSpaceDE w:val="0"/>
        <w:autoSpaceDN w:val="0"/>
        <w:adjustRightInd w:val="0"/>
        <w:spacing w:after="0" w:line="360" w:lineRule="exact"/>
        <w:ind w:firstLine="709"/>
        <w:jc w:val="both"/>
        <w:rPr>
          <w:rFonts w:ascii="Times New Roman" w:hAnsi="Times New Roman" w:cs="Times New Roman"/>
          <w:b/>
          <w:bCs/>
          <w:sz w:val="28"/>
          <w:szCs w:val="28"/>
        </w:rPr>
      </w:pPr>
    </w:p>
    <w:p w14:paraId="4A5DEAC2" w14:textId="22A30162" w:rsidR="0024060A" w:rsidRPr="00423922" w:rsidRDefault="0038060F" w:rsidP="007E3B37">
      <w:pPr>
        <w:autoSpaceDE w:val="0"/>
        <w:autoSpaceDN w:val="0"/>
        <w:adjustRightInd w:val="0"/>
        <w:spacing w:after="0" w:line="360" w:lineRule="exact"/>
        <w:ind w:firstLine="709"/>
        <w:jc w:val="both"/>
        <w:rPr>
          <w:rFonts w:ascii="Times New Roman" w:hAnsi="Times New Roman" w:cs="Times New Roman"/>
          <w:b/>
          <w:bCs/>
          <w:sz w:val="28"/>
          <w:szCs w:val="28"/>
        </w:rPr>
      </w:pPr>
      <w:r w:rsidRPr="00423922">
        <w:rPr>
          <w:rFonts w:ascii="Times New Roman" w:hAnsi="Times New Roman" w:cs="Times New Roman"/>
          <w:b/>
          <w:bCs/>
          <w:sz w:val="28"/>
          <w:szCs w:val="28"/>
        </w:rPr>
        <w:t>7</w:t>
      </w:r>
      <w:r w:rsidR="00EE511B" w:rsidRPr="00423922">
        <w:rPr>
          <w:rFonts w:ascii="Times New Roman" w:hAnsi="Times New Roman" w:cs="Times New Roman"/>
          <w:b/>
          <w:bCs/>
          <w:sz w:val="28"/>
          <w:szCs w:val="28"/>
        </w:rPr>
        <w:t xml:space="preserve">. </w:t>
      </w:r>
      <w:r w:rsidR="0024060A" w:rsidRPr="00423922">
        <w:rPr>
          <w:rFonts w:ascii="Times New Roman" w:hAnsi="Times New Roman" w:cs="Times New Roman"/>
          <w:b/>
          <w:bCs/>
          <w:sz w:val="28"/>
          <w:szCs w:val="28"/>
        </w:rPr>
        <w:t>ПРИКАЗ МИНЦИФРЫ РОССИИ ОТ 05 НОЯБРЯ 2025 Г. № 1001 «О ВНЕСЕНИИ ИЗМЕНЕНИЙ В ПУНКТ 2 ЕДИНЫХ ТРЕБОВАНИЙ К ФОРМАМ ДОВЕРЕННОСТЕЙ, НЕОБХОДИМЫХ ДЛЯ ИСПОЛЬЗОВАНИЯ КВАЛИФИЦИРОВАННОЙ ЭЛЕКТРОННОЙ ПОДПИСИ, УТВЕРЖДЕННЫХ ПРИКАЗОМ МИНИСТЕРСТВА ЦИФРОВОГО РАЗВИТИЯ, СВЯЗИ И МАССОВЫХ КОММУНИКАЦИЙ РОССИЙСКОЙ ФЕДЕРАЦИИ ОТ 18 АВГУСТА 2021 Г. № 857»</w:t>
      </w:r>
    </w:p>
    <w:p w14:paraId="1003DFA2" w14:textId="36AF386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Зарегистрировано в Минюсте России 20</w:t>
      </w:r>
      <w:r w:rsidR="00EE511B" w:rsidRPr="00423922">
        <w:rPr>
          <w:rFonts w:ascii="Times New Roman" w:hAnsi="Times New Roman" w:cs="Times New Roman"/>
          <w:sz w:val="28"/>
          <w:szCs w:val="28"/>
        </w:rPr>
        <w:t xml:space="preserve"> января </w:t>
      </w:r>
      <w:r w:rsidRPr="00423922">
        <w:rPr>
          <w:rFonts w:ascii="Times New Roman" w:hAnsi="Times New Roman" w:cs="Times New Roman"/>
          <w:sz w:val="28"/>
          <w:szCs w:val="28"/>
        </w:rPr>
        <w:t xml:space="preserve">2026 </w:t>
      </w:r>
      <w:r w:rsidR="00EE511B" w:rsidRPr="00423922">
        <w:rPr>
          <w:rFonts w:ascii="Times New Roman" w:hAnsi="Times New Roman" w:cs="Times New Roman"/>
          <w:sz w:val="28"/>
          <w:szCs w:val="28"/>
        </w:rPr>
        <w:t xml:space="preserve">г. </w:t>
      </w:r>
      <w:r w:rsidRPr="00423922">
        <w:rPr>
          <w:rFonts w:ascii="Times New Roman" w:hAnsi="Times New Roman" w:cs="Times New Roman"/>
          <w:sz w:val="28"/>
          <w:szCs w:val="28"/>
        </w:rPr>
        <w:t xml:space="preserve">№ 84990. </w:t>
      </w:r>
    </w:p>
    <w:p w14:paraId="7FA70471"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Скорректированы единые требования к формам доверенностей, необходимых для использования квалифицированной электронной подписи, уточнен перечень сведений, которые должна содержать доверенность.</w:t>
      </w:r>
    </w:p>
    <w:p w14:paraId="6830C4CE"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5DF4ADE1" w14:textId="4FEBB43A" w:rsidR="000C611C" w:rsidRPr="00423922" w:rsidRDefault="0038060F"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8</w:t>
      </w:r>
      <w:r w:rsidR="000C611C" w:rsidRPr="00423922">
        <w:rPr>
          <w:rFonts w:ascii="Times New Roman" w:eastAsia="Aptos" w:hAnsi="Times New Roman" w:cs="Times New Roman"/>
          <w:b/>
          <w:bCs/>
          <w:caps/>
          <w:kern w:val="2"/>
          <w:sz w:val="28"/>
          <w:szCs w:val="28"/>
          <w14:ligatures w14:val="standardContextual"/>
        </w:rPr>
        <w:t>. Приказ Минтранса России от 28 ноября 2025 г. № 417</w:t>
      </w:r>
      <w:r w:rsidR="000C611C" w:rsidRPr="00423922">
        <w:rPr>
          <w:rFonts w:ascii="Times New Roman" w:eastAsia="Aptos" w:hAnsi="Times New Roman" w:cs="Times New Roman"/>
          <w:b/>
          <w:bCs/>
          <w:caps/>
          <w:kern w:val="2"/>
          <w:sz w:val="28"/>
          <w:szCs w:val="28"/>
          <w14:ligatures w14:val="standardContextual"/>
        </w:rPr>
        <w:br/>
        <w:t>«О внесении изменений в перечень индикаторов риска нарушения обязательных требований при осуществлении федерального государственного контроля (надзора) на автомобильном транспорте, городском наземном электрическом транспорте и в дорожном хозяйстве, утвержденный приказом Министерства транспорта Российской Федерации от 22 июня 2023 г. № 229»</w:t>
      </w:r>
      <w:r w:rsidR="000C611C" w:rsidRPr="00423922">
        <w:rPr>
          <w:rFonts w:ascii="Times New Roman" w:eastAsia="Aptos" w:hAnsi="Times New Roman" w:cs="Times New Roman"/>
          <w:b/>
          <w:bCs/>
          <w:caps/>
          <w:kern w:val="2"/>
          <w:sz w:val="28"/>
          <w:szCs w:val="28"/>
          <w14:ligatures w14:val="standardContextual"/>
        </w:rPr>
        <w:br/>
        <w:t xml:space="preserve">Зарегистрировано в Минюсте России 13 января 2026 г. № 84918. </w:t>
      </w:r>
    </w:p>
    <w:p w14:paraId="0EBF6E7A"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lastRenderedPageBreak/>
        <w:t>Дополнен перечень индикаторов риска нарушения обязательных требований при осуществлении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14:paraId="60FDFAB6"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Таким индикатором является в числе прочего поступление в Ространснадзор (его территориальный орган) от соискателя лицензии заявления о предоставлении лицензии на осуществление деятельности по перевозкам пассажиров и иных лиц автобусами при условии наличия у Ространснадзора (его территориального органа) информации о том, что работник соискателя лицензии, ответственный за обеспечение безопасности дорожного движения, осуществляет деятельность у трех и более контролируемых лиц. </w:t>
      </w:r>
    </w:p>
    <w:p w14:paraId="051C7A94"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060B0641" w14:textId="1B86BDE3" w:rsidR="00EE511B" w:rsidRPr="00423922" w:rsidRDefault="00423922"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9</w:t>
      </w:r>
      <w:r w:rsidR="00EE511B" w:rsidRPr="00423922">
        <w:rPr>
          <w:rFonts w:ascii="Times New Roman" w:eastAsia="Aptos" w:hAnsi="Times New Roman" w:cs="Times New Roman"/>
          <w:b/>
          <w:bCs/>
          <w:caps/>
          <w:kern w:val="2"/>
          <w:sz w:val="28"/>
          <w:szCs w:val="28"/>
          <w14:ligatures w14:val="standardContextual"/>
        </w:rPr>
        <w:t>. Приказ МЧС России от 29 ДЕКАБРЯ 2025 Г. № 1263</w:t>
      </w:r>
      <w:r w:rsidR="00EE511B" w:rsidRPr="00423922">
        <w:rPr>
          <w:rFonts w:ascii="Times New Roman" w:eastAsia="Aptos" w:hAnsi="Times New Roman" w:cs="Times New Roman"/>
          <w:b/>
          <w:bCs/>
          <w:caps/>
          <w:kern w:val="2"/>
          <w:sz w:val="28"/>
          <w:szCs w:val="28"/>
          <w14:ligatures w14:val="standardContextual"/>
        </w:rPr>
        <w:br/>
        <w:t xml:space="preserve">«Об утверждении свода правил СП 6.13130 </w:t>
      </w:r>
      <w:r w:rsidRPr="00423922">
        <w:rPr>
          <w:rFonts w:ascii="Times New Roman" w:eastAsia="Aptos" w:hAnsi="Times New Roman" w:cs="Times New Roman"/>
          <w:b/>
          <w:bCs/>
          <w:caps/>
          <w:kern w:val="2"/>
          <w:sz w:val="28"/>
          <w:szCs w:val="28"/>
          <w14:ligatures w14:val="standardContextual"/>
        </w:rPr>
        <w:t>«</w:t>
      </w:r>
      <w:r w:rsidR="00EE511B" w:rsidRPr="00423922">
        <w:rPr>
          <w:rFonts w:ascii="Times New Roman" w:eastAsia="Aptos" w:hAnsi="Times New Roman" w:cs="Times New Roman"/>
          <w:b/>
          <w:bCs/>
          <w:caps/>
          <w:kern w:val="2"/>
          <w:sz w:val="28"/>
          <w:szCs w:val="28"/>
          <w14:ligatures w14:val="standardContextual"/>
        </w:rPr>
        <w:t>Система обеспечения пожарной безопасности объекта защиты. Электроустановки низковольтные. Требования пожарной безопасности»</w:t>
      </w:r>
    </w:p>
    <w:p w14:paraId="76789E85" w14:textId="4D1A53BB"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Утвержден новый свод правил СП 6.13130 «Система обеспечения пожарной безопасности объекта защиты. Электроустановки низковольтные. Требования пожарной безопасности»</w:t>
      </w:r>
    </w:p>
    <w:p w14:paraId="0C663C3F"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Свод правил устанавливает требования к питанию электроприемников, электропроводкам, линиям связи и электрооборудованию систем противопожарной защиты зданий, сооружений и наружных установок, а также к обеспечению пожарной безопасности низковольтных электроустановок зданий, сооружений и наружных установок. </w:t>
      </w:r>
    </w:p>
    <w:p w14:paraId="4921EDF7"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Свод правил предназначен для применения при проектировании, строительстве, капитальном ремонте, реконструкции, техническом перевооружении, изменении функционального назначения объекта защиты. </w:t>
      </w:r>
    </w:p>
    <w:p w14:paraId="35B2F599"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Признан утратившим силу аналогичный приказ МЧС России от 06 апреля 2021 г. № 200. </w:t>
      </w:r>
    </w:p>
    <w:p w14:paraId="2D84B265"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Настоящий приказ вступает в силу по истечении 6 месяцев после дня его издания. </w:t>
      </w:r>
    </w:p>
    <w:p w14:paraId="77AEBCB1" w14:textId="77777777" w:rsidR="00EE511B" w:rsidRPr="00423922" w:rsidRDefault="00EE511B" w:rsidP="007E3B37">
      <w:pPr>
        <w:spacing w:after="0" w:line="360" w:lineRule="exact"/>
        <w:ind w:firstLine="709"/>
        <w:jc w:val="both"/>
        <w:rPr>
          <w:rFonts w:ascii="Times New Roman" w:eastAsia="Aptos" w:hAnsi="Times New Roman" w:cs="Times New Roman"/>
          <w:kern w:val="2"/>
          <w:sz w:val="28"/>
          <w:szCs w:val="28"/>
          <w14:ligatures w14:val="standardContextual"/>
        </w:rPr>
      </w:pPr>
    </w:p>
    <w:p w14:paraId="164A20AF" w14:textId="6A823EA8" w:rsidR="00EE511B" w:rsidRPr="00423922" w:rsidRDefault="00423922"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10</w:t>
      </w:r>
      <w:r w:rsidR="00EE511B" w:rsidRPr="00423922">
        <w:rPr>
          <w:rFonts w:ascii="Times New Roman" w:hAnsi="Times New Roman" w:cs="Times New Roman"/>
          <w:b/>
          <w:bCs/>
          <w:caps/>
          <w:sz w:val="28"/>
          <w:szCs w:val="28"/>
        </w:rPr>
        <w:t xml:space="preserve">. «Методические рекомендации по составлению и представлению отчетов о расходах и численности работников федеральных государственных органов, государственных органов субъектов Российской Федерации, отчетов о расходах и численности работников органов местного самоуправления, </w:t>
      </w:r>
      <w:r w:rsidR="00EE511B" w:rsidRPr="00423922">
        <w:rPr>
          <w:rFonts w:ascii="Times New Roman" w:hAnsi="Times New Roman" w:cs="Times New Roman"/>
          <w:b/>
          <w:bCs/>
          <w:caps/>
          <w:sz w:val="28"/>
          <w:szCs w:val="28"/>
        </w:rPr>
        <w:lastRenderedPageBreak/>
        <w:t>утвержденных приказом Министерства финансов Российской Федерации от 28 декабря 2017 г. № 259н».</w:t>
      </w:r>
    </w:p>
    <w:p w14:paraId="34D4A1CE" w14:textId="77777777" w:rsidR="00EE511B" w:rsidRPr="00423922" w:rsidRDefault="00EE511B"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Утверждены методические рекомендации по составлению и представлению отчетов о расходах и численности работников бюджетной сферы. Приведены отчетные формы и особенности формирования показателей отчетности федеральных государственных органов, государственных органов субъектов РФ, отчетов о расходах и численности работников органов местного самоуправления, утвержденных приказом Минфина России от 28 декабря 2017 г. № 259н. </w:t>
      </w:r>
    </w:p>
    <w:p w14:paraId="126F09E3" w14:textId="77777777" w:rsidR="00EE511B" w:rsidRPr="00423922" w:rsidRDefault="00EE511B" w:rsidP="007E3B37">
      <w:pPr>
        <w:autoSpaceDE w:val="0"/>
        <w:autoSpaceDN w:val="0"/>
        <w:adjustRightInd w:val="0"/>
        <w:spacing w:after="0" w:line="360" w:lineRule="exact"/>
        <w:ind w:firstLine="709"/>
        <w:jc w:val="both"/>
        <w:rPr>
          <w:rFonts w:ascii="Times New Roman" w:hAnsi="Times New Roman" w:cs="Times New Roman"/>
          <w:sz w:val="28"/>
          <w:szCs w:val="28"/>
        </w:rPr>
      </w:pPr>
    </w:p>
    <w:p w14:paraId="54FBC9A7" w14:textId="09D0BBBF" w:rsidR="000C611C" w:rsidRPr="00423922" w:rsidRDefault="00423922"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11</w:t>
      </w:r>
      <w:r w:rsidR="000C611C" w:rsidRPr="00423922">
        <w:rPr>
          <w:rFonts w:ascii="Times New Roman" w:eastAsia="Aptos" w:hAnsi="Times New Roman" w:cs="Times New Roman"/>
          <w:b/>
          <w:bCs/>
          <w:caps/>
          <w:kern w:val="2"/>
          <w:sz w:val="28"/>
          <w:szCs w:val="28"/>
          <w14:ligatures w14:val="standardContextual"/>
        </w:rPr>
        <w:t>. Письмо Минстроя России от 22 сентября 2025 г. № 26412-ОГ/08 «Об исполнительной документации при строительстве, реконструкции, капитальном ремонте объектов капитального строительства»</w:t>
      </w:r>
    </w:p>
    <w:p w14:paraId="5A73E44F" w14:textId="2F1D7896"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Разъяснены нюансы ведения исполнительной документации при строительстве с участием субподрядчиков</w:t>
      </w:r>
      <w:r w:rsidR="00E9234B" w:rsidRPr="00423922">
        <w:rPr>
          <w:rFonts w:ascii="Times New Roman" w:eastAsia="Aptos" w:hAnsi="Times New Roman" w:cs="Times New Roman"/>
          <w:kern w:val="2"/>
          <w:sz w:val="28"/>
          <w:szCs w:val="28"/>
          <w14:ligatures w14:val="standardContextual"/>
        </w:rPr>
        <w:t>.</w:t>
      </w:r>
    </w:p>
    <w:p w14:paraId="2B0A7FF8"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Сообщается, что акты, являющиеся приложениями 1 - 5 к составу исполнительной документации, утвержденному приказом Минстроя России от 16 мая 2023 г. № 344/</w:t>
      </w:r>
      <w:proofErr w:type="spellStart"/>
      <w:r w:rsidRPr="00423922">
        <w:rPr>
          <w:rFonts w:ascii="Times New Roman" w:eastAsia="Aptos" w:hAnsi="Times New Roman" w:cs="Times New Roman"/>
          <w:kern w:val="2"/>
          <w:sz w:val="28"/>
          <w:szCs w:val="28"/>
          <w14:ligatures w14:val="standardContextual"/>
        </w:rPr>
        <w:t>пр</w:t>
      </w:r>
      <w:proofErr w:type="spellEnd"/>
      <w:r w:rsidRPr="00423922">
        <w:rPr>
          <w:rFonts w:ascii="Times New Roman" w:eastAsia="Aptos" w:hAnsi="Times New Roman" w:cs="Times New Roman"/>
          <w:kern w:val="2"/>
          <w:sz w:val="28"/>
          <w:szCs w:val="28"/>
          <w14:ligatures w14:val="standardContextual"/>
        </w:rPr>
        <w:t xml:space="preserve">, носят рекомендательный характер. </w:t>
      </w:r>
    </w:p>
    <w:p w14:paraId="4CDC1BB1"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Подрядчик и субподрядчик, с которым генеральным подрядчиком заключен договор, должны быть указаны в графе актов «Представитель лица, осуществляющего строительство, реконструкцию, капитальный ремонт» с пометкой о том, что генеральным подрядчиком заключен договор с указанным субподрядчиком. </w:t>
      </w:r>
    </w:p>
    <w:p w14:paraId="331F43E5"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Субподрядчик, выполнивший работы, подлежащие освидетельствованию (заключивший договор с указанным выше субподрядчиком), указывается в графе «Представитель лица, выполнившего работы, подлежащие освидетельствованию (в случае выполнения работ по договорам о строительстве, реконструкции, капитальном ремонте объектов капитального строительства, заключенным с иными лицами)». </w:t>
      </w:r>
    </w:p>
    <w:p w14:paraId="44B6A2CD"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11DDF339" w14:textId="44DEAB2F" w:rsidR="000C611C" w:rsidRPr="00423922" w:rsidRDefault="00423922"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12</w:t>
      </w:r>
      <w:r w:rsidR="000C611C" w:rsidRPr="00423922">
        <w:rPr>
          <w:rFonts w:ascii="Times New Roman" w:eastAsia="Aptos" w:hAnsi="Times New Roman" w:cs="Times New Roman"/>
          <w:b/>
          <w:bCs/>
          <w:caps/>
          <w:kern w:val="2"/>
          <w:sz w:val="28"/>
          <w:szCs w:val="28"/>
          <w14:ligatures w14:val="standardContextual"/>
        </w:rPr>
        <w:t>. Письмо Минстроя России от 08 декабря 2025 г. № 34614-ОГ/00 «По вопросу индексации размера платы за содержание жилого помещения»</w:t>
      </w:r>
    </w:p>
    <w:p w14:paraId="5DEAB535" w14:textId="051F03B5"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Даны разъяснения по вопросу индексации размера платы за содержание жилого помещения.</w:t>
      </w:r>
    </w:p>
    <w:p w14:paraId="10369038"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Сообщается, что в случае проведения органом местного самоуправления открытого конкурса по отбору управляющей организации для управления многоквартирным домом, по результатам которого с отобранной управляющей организацией заключен договор управления многоквартирным домом, условия </w:t>
      </w:r>
      <w:r w:rsidRPr="00423922">
        <w:rPr>
          <w:rFonts w:ascii="Times New Roman" w:eastAsia="Aptos" w:hAnsi="Times New Roman" w:cs="Times New Roman"/>
          <w:kern w:val="2"/>
          <w:sz w:val="28"/>
          <w:szCs w:val="28"/>
          <w14:ligatures w14:val="standardContextual"/>
        </w:rPr>
        <w:lastRenderedPageBreak/>
        <w:t xml:space="preserve">которого предусматривают индексацию размера платы за содержание жилого помещения, индексация может производиться с учетом индекса потребительских цен. </w:t>
      </w:r>
    </w:p>
    <w:p w14:paraId="397453E1"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7E5D3BD5" w14:textId="6EFF1494"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1</w:t>
      </w:r>
      <w:r w:rsidR="00423922" w:rsidRPr="00423922">
        <w:rPr>
          <w:rFonts w:ascii="Times New Roman" w:hAnsi="Times New Roman" w:cs="Times New Roman"/>
          <w:b/>
          <w:bCs/>
          <w:caps/>
          <w:sz w:val="28"/>
          <w:szCs w:val="28"/>
        </w:rPr>
        <w:t>3</w:t>
      </w:r>
      <w:r w:rsidRPr="00423922">
        <w:rPr>
          <w:rFonts w:ascii="Times New Roman" w:hAnsi="Times New Roman" w:cs="Times New Roman"/>
          <w:b/>
          <w:bCs/>
          <w:caps/>
          <w:sz w:val="28"/>
          <w:szCs w:val="28"/>
        </w:rPr>
        <w:t xml:space="preserve">. Письмо Минстроя России от 10 декабря 2025 г. № 35076-ОГ/08 «О компенсационных выплатах за уничтожение зеленых насаждений» </w:t>
      </w:r>
    </w:p>
    <w:p w14:paraId="59CD558F"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Даны разъяснения по вопросу осуществления компенсационных выплат за уничтожение зеленых насаждений.</w:t>
      </w:r>
    </w:p>
    <w:p w14:paraId="35584077"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Сообщается, в частности, что порядок расчета компенсационных выплат за уничтожение (снос) зеленых насаждений устанавливается законодательством субъекта РФ, нормативными правовыми актами муниципальных образований. </w:t>
      </w:r>
    </w:p>
    <w:p w14:paraId="15ADF631" w14:textId="77777777" w:rsidR="000C611C"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Как правило, учитываются количественный и качественный состав зеленых насаждений, их месторасположение, ценность, в т.ч. водоохранное значение, затраты на посадку, уход и т.п. Расчет компенсационных выплат может осуществляться по формуле с установлением стоимости зеленых насаждений в твердой денежной сумме. </w:t>
      </w:r>
    </w:p>
    <w:p w14:paraId="3BDEBF9A" w14:textId="77777777" w:rsidR="00972A4D" w:rsidRPr="00423922" w:rsidRDefault="00972A4D" w:rsidP="007E3B37">
      <w:pPr>
        <w:autoSpaceDE w:val="0"/>
        <w:autoSpaceDN w:val="0"/>
        <w:adjustRightInd w:val="0"/>
        <w:spacing w:after="0" w:line="360" w:lineRule="exact"/>
        <w:ind w:firstLine="709"/>
        <w:jc w:val="both"/>
        <w:rPr>
          <w:rFonts w:ascii="Times New Roman" w:hAnsi="Times New Roman" w:cs="Times New Roman"/>
          <w:sz w:val="28"/>
          <w:szCs w:val="28"/>
        </w:rPr>
      </w:pPr>
    </w:p>
    <w:p w14:paraId="22E001BD" w14:textId="0FDAF513"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1</w:t>
      </w:r>
      <w:r w:rsidR="00423922" w:rsidRPr="00423922">
        <w:rPr>
          <w:rFonts w:ascii="Times New Roman" w:hAnsi="Times New Roman" w:cs="Times New Roman"/>
          <w:b/>
          <w:bCs/>
          <w:caps/>
          <w:sz w:val="28"/>
          <w:szCs w:val="28"/>
        </w:rPr>
        <w:t>4</w:t>
      </w:r>
      <w:r w:rsidRPr="00423922">
        <w:rPr>
          <w:rFonts w:ascii="Times New Roman" w:hAnsi="Times New Roman" w:cs="Times New Roman"/>
          <w:b/>
          <w:bCs/>
          <w:caps/>
          <w:sz w:val="28"/>
          <w:szCs w:val="28"/>
        </w:rPr>
        <w:t xml:space="preserve">. Письмо Минстроя России от 23 декабря 2025 г. № 36490-ОГ/00 «О содержании и проведении ремонтных работ на детских игровых площадках, парковочных местах, тротуарах и внутридворовых проездах, расположенных на откадастрированном земельном участке, предназначенном для строительства многоквартирного жилого дома» </w:t>
      </w:r>
    </w:p>
    <w:p w14:paraId="06AF6A08"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Рассмотрен вопрос о содержании элементов благоустройства, детских и спортивных площадок, расположенных в границах придомовой территории.</w:t>
      </w:r>
    </w:p>
    <w:p w14:paraId="12837B7E"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Сообщается, что надлежащее содержание таких элементов благоустройства, детских и спортивных площадок относится к обязанностям лица, осуществляющего управление многоквартирным домом (управляющая организация, товарищество собственников жилья, жилищный или жилищно-строительный кооператив), и оплачивается за счет денежных средств, вносимых собственниками в качестве платы за содержание жилого помещения в многоквартирном доме. </w:t>
      </w:r>
    </w:p>
    <w:p w14:paraId="065355F1" w14:textId="6B695AC0" w:rsidR="000C611C" w:rsidRPr="00423922" w:rsidRDefault="000C611C" w:rsidP="00972A4D">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В случае если земельный участок не сформирован и не включен в состав общего имущества собственников помещений в многоквартирном доме, содержание такого земельного участка, включая тротуары, паркинги, детские и спортивные площадки, зоны отдыха и другие элементы благоустройства, расположенные в границах такого земельного участка, осуществляется органами местного самоуправления. </w:t>
      </w:r>
    </w:p>
    <w:p w14:paraId="24127BCD" w14:textId="22CD79FE"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lastRenderedPageBreak/>
        <w:t>1</w:t>
      </w:r>
      <w:r w:rsidR="00423922" w:rsidRPr="00423922">
        <w:rPr>
          <w:rFonts w:ascii="Times New Roman" w:hAnsi="Times New Roman" w:cs="Times New Roman"/>
          <w:b/>
          <w:bCs/>
          <w:caps/>
          <w:sz w:val="28"/>
          <w:szCs w:val="28"/>
        </w:rPr>
        <w:t>5</w:t>
      </w:r>
      <w:r w:rsidRPr="00423922">
        <w:rPr>
          <w:rFonts w:ascii="Times New Roman" w:hAnsi="Times New Roman" w:cs="Times New Roman"/>
          <w:b/>
          <w:bCs/>
          <w:caps/>
          <w:sz w:val="28"/>
          <w:szCs w:val="28"/>
        </w:rPr>
        <w:t xml:space="preserve">. Письмо Минстроя России от 24 декабря 2025 г. № 36579-ОГ/00 «О содержании лифтов в многоквартирном доме» </w:t>
      </w:r>
    </w:p>
    <w:p w14:paraId="742434DF"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Минстрой России представил разъяснение по вопросу о составе и содержании общего имущества (паркинга, лифтов) в МКД.</w:t>
      </w:r>
    </w:p>
    <w:p w14:paraId="2C0D4134"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Сообщается, в частности, что паркинг с расположенными в нем машино-местами признается конструктивной частью многоквартирного дома, если информация о том, что паркинг включен в состав объектов недвижимости, создание которых осуществлялось при строительстве многоквартирного дома, включена в проектную документацию на многоквартирный дом, а также в ЕГРН внесены сведения о машино-местах в паркинге, как в помещении, входящем в состав многоквартирного дома, с единым кадастровым номером земельного участка, в границах которого расположен многоквартирный дом, с указанием номера этажа (в том числе подземной части) многоквартирного дома, на котором (в которой) расположено помещение паркинга, а также с указанием состава общего имущества в таком многоквартирном доме и единого адреса машино-места с адресом многоквартирного дома. </w:t>
      </w:r>
    </w:p>
    <w:p w14:paraId="138B3AD7"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Если строительство паркинга осуществлялось по отдельному проекту как самостоятельного объекта капитального строительства (информация о паркинге не содержится в проектной документации на многоквартирный дом), и при регистрации прав на машино-места отсутствует указание на включение соответствующего помещения в состав многоквартирного дома, при этом адрес регистрации соответствующего машино-места в ЕГРН указан иной, нежели адрес, по которому расположен многоквартирный дом, то помещение паркинга относится к отдельному объекту капитального строительства, не являющемуся конструктивной частью многоквартирного дома. </w:t>
      </w:r>
    </w:p>
    <w:p w14:paraId="0035EC89"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69088340" w14:textId="526C0CF7" w:rsidR="000C611C" w:rsidRPr="00423922" w:rsidRDefault="000C611C"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1</w:t>
      </w:r>
      <w:r w:rsidR="00423922" w:rsidRPr="00423922">
        <w:rPr>
          <w:rFonts w:ascii="Times New Roman" w:eastAsia="Aptos" w:hAnsi="Times New Roman" w:cs="Times New Roman"/>
          <w:b/>
          <w:bCs/>
          <w:caps/>
          <w:kern w:val="2"/>
          <w:sz w:val="28"/>
          <w:szCs w:val="28"/>
          <w14:ligatures w14:val="standardContextual"/>
        </w:rPr>
        <w:t>6</w:t>
      </w:r>
      <w:r w:rsidRPr="00423922">
        <w:rPr>
          <w:rFonts w:ascii="Times New Roman" w:eastAsia="Aptos" w:hAnsi="Times New Roman" w:cs="Times New Roman"/>
          <w:b/>
          <w:bCs/>
          <w:caps/>
          <w:kern w:val="2"/>
          <w:sz w:val="28"/>
          <w:szCs w:val="28"/>
          <w14:ligatures w14:val="standardContextual"/>
        </w:rPr>
        <w:t xml:space="preserve">. Письмо Минстроя России от 25 декабря 2025 г. № 80914-АГ/09 «Об определении в сметной документации ставки НДС» </w:t>
      </w:r>
    </w:p>
    <w:p w14:paraId="06A01415" w14:textId="61ACBC0C"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Минстрой: с 1 января 2026 г. проектная документация и заявление могут быть скорректированы с учетом положений налогового законодательства, вступающих в силу с 1 января 2026 г., в процессе проведения государственной экспертизы, но не позднее чем за 10 рабочих дней до окончания срока проведения государственной экспертизы.</w:t>
      </w:r>
    </w:p>
    <w:p w14:paraId="462F1756"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При подготовке проектной документации и ее направлении на государственную экспертизу в части проверки достоверности определения сметной стоимости, при определении в сметной документации ставки НДС применяются положения налогового законодательства, вступившие в силу на дату определения сметной стоимости и (или) в соответствии с требованиями </w:t>
      </w:r>
      <w:r w:rsidRPr="00423922">
        <w:rPr>
          <w:rFonts w:ascii="Times New Roman" w:eastAsia="Aptos" w:hAnsi="Times New Roman" w:cs="Times New Roman"/>
          <w:kern w:val="2"/>
          <w:sz w:val="28"/>
          <w:szCs w:val="28"/>
          <w14:ligatures w14:val="standardContextual"/>
        </w:rPr>
        <w:lastRenderedPageBreak/>
        <w:t xml:space="preserve">пункта 20(1)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РФ от 5 марта 2007 г. № 145 (далее - Положение № 145). </w:t>
      </w:r>
    </w:p>
    <w:p w14:paraId="179F1071"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Согласно пункту 31 Положения № 145 при проведении государственной экспертизы проектной документации и результатов инженерных изысканий может осуществляться оперативное внесение изменений в проектную документацию, результаты инженерных изысканий и соответствующих изменений в заявление о проведении государственной экспертизы в сроки и в порядке, которые установлены договором, но не позднее чем за 10 рабочих дней до окончания срока проведения государственной экспертизы. Внесение изменений в заявление о проведении государственной экспертизы осуществляется путем представления заявителем в организацию по проведению государственной экспертизы новых (измененных) сведений, подлежащих указанию в заявлении о проведении государственной экспертизы в соответствии с подпунктом «а» пункта 13 Положения № 145. </w:t>
      </w:r>
    </w:p>
    <w:p w14:paraId="4C467C7E" w14:textId="3AA21D1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Пунктом 45(13) Положения № 145 установлены случаи, при которых до даты заключения государственного (муниципального) контракта (договора) по решению застройщика или технического заказчика проектная документация может быть изменена без ее направления на повторную государственную экспертизу в части проверки сметной стоимости (подпункты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а</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и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в</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пункта 45(13) Положения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145). </w:t>
      </w:r>
    </w:p>
    <w:p w14:paraId="4722C584" w14:textId="01B8BEFB"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При этом изменение ставки НДС не относится к изменениям, предусмотренным в том числе подпунктами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а</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и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в</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пункта 45(13) Положения </w:t>
      </w:r>
      <w:r w:rsidR="00423922" w:rsidRPr="00423922">
        <w:rPr>
          <w:rFonts w:ascii="Times New Roman" w:eastAsia="Aptos" w:hAnsi="Times New Roman" w:cs="Times New Roman"/>
          <w:kern w:val="2"/>
          <w:sz w:val="28"/>
          <w:szCs w:val="28"/>
          <w14:ligatures w14:val="standardContextual"/>
        </w:rPr>
        <w:t>№</w:t>
      </w:r>
      <w:r w:rsidRPr="00423922">
        <w:rPr>
          <w:rFonts w:ascii="Times New Roman" w:eastAsia="Aptos" w:hAnsi="Times New Roman" w:cs="Times New Roman"/>
          <w:kern w:val="2"/>
          <w:sz w:val="28"/>
          <w:szCs w:val="28"/>
          <w14:ligatures w14:val="standardContextual"/>
        </w:rPr>
        <w:t xml:space="preserve"> 145, в связи с чем после получения положительного заключения государственной экспертизы в части проверки сметной стоимости при изменении в сметной документации ставки НДС направление такой документации на повторную государственную экспертизу не предусмотрено. </w:t>
      </w:r>
    </w:p>
    <w:p w14:paraId="716C00D7"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62520B10" w14:textId="73F3EAD3" w:rsidR="000C611C" w:rsidRPr="00423922" w:rsidRDefault="000C611C"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t>1</w:t>
      </w:r>
      <w:r w:rsidR="00423922" w:rsidRPr="00423922">
        <w:rPr>
          <w:rFonts w:ascii="Times New Roman" w:eastAsia="Aptos" w:hAnsi="Times New Roman" w:cs="Times New Roman"/>
          <w:b/>
          <w:bCs/>
          <w:caps/>
          <w:kern w:val="2"/>
          <w:sz w:val="28"/>
          <w:szCs w:val="28"/>
          <w14:ligatures w14:val="standardContextual"/>
        </w:rPr>
        <w:t>7</w:t>
      </w:r>
      <w:r w:rsidRPr="00423922">
        <w:rPr>
          <w:rFonts w:ascii="Times New Roman" w:eastAsia="Aptos" w:hAnsi="Times New Roman" w:cs="Times New Roman"/>
          <w:b/>
          <w:bCs/>
          <w:caps/>
          <w:kern w:val="2"/>
          <w:sz w:val="28"/>
          <w:szCs w:val="28"/>
          <w14:ligatures w14:val="standardContextual"/>
        </w:rPr>
        <w:t>. Письмо Минстроя России от 30 декабря 2025 г. № 81879-ИФ/09 «Об индексах изменения сметной стоимости строительства на I квартал 2026 года»</w:t>
      </w:r>
    </w:p>
    <w:p w14:paraId="007F4C11"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Минстрой России сообщает о рекомендуемой величине индексов изменения сметной стоимости строительства на I квартал 2026 года.</w:t>
      </w:r>
    </w:p>
    <w:p w14:paraId="2E95E731"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Приводятся в том числе индексы изменения сметной стоимости строительно-монтажных и пусконаладочных работ, сметных цен услуг на перевозку грузов для строительства автомобильным транспортом. </w:t>
      </w:r>
    </w:p>
    <w:p w14:paraId="47D3136D"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Индексы для отдельных субъектов РФ будут сообщены дополнительно. </w:t>
      </w:r>
    </w:p>
    <w:p w14:paraId="65B48A2F"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1B505020" w14:textId="4E4CA108" w:rsidR="000C611C" w:rsidRPr="00423922" w:rsidRDefault="000C611C" w:rsidP="007E3B37">
      <w:pPr>
        <w:spacing w:after="0" w:line="360" w:lineRule="exact"/>
        <w:ind w:firstLine="709"/>
        <w:jc w:val="both"/>
        <w:rPr>
          <w:rFonts w:ascii="Times New Roman" w:eastAsia="Aptos" w:hAnsi="Times New Roman" w:cs="Times New Roman"/>
          <w:b/>
          <w:bCs/>
          <w:caps/>
          <w:kern w:val="2"/>
          <w:sz w:val="28"/>
          <w:szCs w:val="28"/>
          <w14:ligatures w14:val="standardContextual"/>
        </w:rPr>
      </w:pPr>
      <w:r w:rsidRPr="00423922">
        <w:rPr>
          <w:rFonts w:ascii="Times New Roman" w:eastAsia="Aptos" w:hAnsi="Times New Roman" w:cs="Times New Roman"/>
          <w:b/>
          <w:bCs/>
          <w:caps/>
          <w:kern w:val="2"/>
          <w:sz w:val="28"/>
          <w:szCs w:val="28"/>
          <w14:ligatures w14:val="standardContextual"/>
        </w:rPr>
        <w:lastRenderedPageBreak/>
        <w:t>1</w:t>
      </w:r>
      <w:r w:rsidR="00423922" w:rsidRPr="00423922">
        <w:rPr>
          <w:rFonts w:ascii="Times New Roman" w:eastAsia="Aptos" w:hAnsi="Times New Roman" w:cs="Times New Roman"/>
          <w:b/>
          <w:bCs/>
          <w:caps/>
          <w:kern w:val="2"/>
          <w:sz w:val="28"/>
          <w:szCs w:val="28"/>
          <w14:ligatures w14:val="standardContextual"/>
        </w:rPr>
        <w:t>8</w:t>
      </w:r>
      <w:r w:rsidRPr="00423922">
        <w:rPr>
          <w:rFonts w:ascii="Times New Roman" w:eastAsia="Aptos" w:hAnsi="Times New Roman" w:cs="Times New Roman"/>
          <w:b/>
          <w:bCs/>
          <w:caps/>
          <w:kern w:val="2"/>
          <w:sz w:val="28"/>
          <w:szCs w:val="28"/>
          <w14:ligatures w14:val="standardContextual"/>
        </w:rPr>
        <w:t>. Письмо ФНС России от 12 января 2026 г. № БС-4-21/3</w:t>
      </w:r>
      <w:r w:rsidRPr="00423922">
        <w:rPr>
          <w:rFonts w:ascii="Times New Roman" w:eastAsia="Aptos" w:hAnsi="Times New Roman" w:cs="Times New Roman"/>
          <w:b/>
          <w:bCs/>
          <w:caps/>
          <w:kern w:val="2"/>
          <w:sz w:val="28"/>
          <w:szCs w:val="28"/>
          <w14:ligatures w14:val="standardContextual"/>
        </w:rPr>
        <w:br/>
        <w:t xml:space="preserve">«О типовых (рекомендуемых) разъяснениях по вопросам предоставления налоговых льгот по налогам на имущество физических лиц в отношении лиц, принимающих (принимавших) участие в специальной военной операции, и членов их семей» </w:t>
      </w:r>
    </w:p>
    <w:p w14:paraId="731E8F06" w14:textId="74925DE3"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ФНС изданы новые разъяснения о предоставлении налоговых льгот лицам, принимавшим участие в СВО, и членам их семей.</w:t>
      </w:r>
    </w:p>
    <w:p w14:paraId="7661CA3E"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Разъяснения касаются следующих вопросов, в частности: каким категориям лиц предоставляются налоговые льготы; кто является членом семьи участника СВО для целей получения налоговых льгот; как определяется период участия в СВО; в каком порядке и с учетом каких особенностей предоставляются льготы по конкретным налогам и т.д. </w:t>
      </w:r>
    </w:p>
    <w:p w14:paraId="2098B079" w14:textId="77777777" w:rsidR="000C611C" w:rsidRPr="00423922" w:rsidRDefault="000C611C" w:rsidP="007E3B37">
      <w:pPr>
        <w:spacing w:after="0" w:line="360" w:lineRule="exact"/>
        <w:ind w:firstLine="709"/>
        <w:jc w:val="both"/>
        <w:rPr>
          <w:rFonts w:ascii="Times New Roman" w:eastAsia="Aptos" w:hAnsi="Times New Roman" w:cs="Times New Roman"/>
          <w:kern w:val="2"/>
          <w:sz w:val="28"/>
          <w:szCs w:val="28"/>
          <w14:ligatures w14:val="standardContextual"/>
        </w:rPr>
      </w:pPr>
      <w:r w:rsidRPr="00423922">
        <w:rPr>
          <w:rFonts w:ascii="Times New Roman" w:eastAsia="Aptos" w:hAnsi="Times New Roman" w:cs="Times New Roman"/>
          <w:kern w:val="2"/>
          <w:sz w:val="28"/>
          <w:szCs w:val="28"/>
          <w14:ligatures w14:val="standardContextual"/>
        </w:rPr>
        <w:t xml:space="preserve">С изданием настоящего письма утратили силу разъяснения, направленные письмом ФНС России от 04 сентября 2024г.  № БС-4-21/10112. </w:t>
      </w:r>
    </w:p>
    <w:p w14:paraId="1B5E0ACB" w14:textId="77777777" w:rsidR="000C611C" w:rsidRPr="00423922" w:rsidRDefault="000C611C" w:rsidP="007E3B37">
      <w:pPr>
        <w:autoSpaceDE w:val="0"/>
        <w:autoSpaceDN w:val="0"/>
        <w:adjustRightInd w:val="0"/>
        <w:spacing w:after="0" w:line="360" w:lineRule="exact"/>
        <w:ind w:firstLine="709"/>
        <w:jc w:val="both"/>
        <w:rPr>
          <w:rFonts w:ascii="Times New Roman" w:hAnsi="Times New Roman" w:cs="Times New Roman"/>
          <w:sz w:val="28"/>
          <w:szCs w:val="28"/>
        </w:rPr>
      </w:pPr>
    </w:p>
    <w:p w14:paraId="6AC5C383" w14:textId="3204AB32" w:rsidR="0024060A" w:rsidRPr="00423922" w:rsidRDefault="000C611C" w:rsidP="007E3B37">
      <w:pPr>
        <w:autoSpaceDE w:val="0"/>
        <w:autoSpaceDN w:val="0"/>
        <w:adjustRightInd w:val="0"/>
        <w:spacing w:after="0" w:line="360" w:lineRule="exact"/>
        <w:ind w:firstLine="709"/>
        <w:jc w:val="both"/>
        <w:rPr>
          <w:rFonts w:ascii="Times New Roman" w:hAnsi="Times New Roman" w:cs="Times New Roman"/>
          <w:b/>
          <w:bCs/>
          <w:sz w:val="28"/>
          <w:szCs w:val="28"/>
        </w:rPr>
      </w:pPr>
      <w:r w:rsidRPr="00423922">
        <w:rPr>
          <w:rFonts w:ascii="Times New Roman" w:hAnsi="Times New Roman" w:cs="Times New Roman"/>
          <w:b/>
          <w:bCs/>
          <w:sz w:val="28"/>
          <w:szCs w:val="28"/>
        </w:rPr>
        <w:t>1</w:t>
      </w:r>
      <w:r w:rsidR="00423922" w:rsidRPr="00423922">
        <w:rPr>
          <w:rFonts w:ascii="Times New Roman" w:hAnsi="Times New Roman" w:cs="Times New Roman"/>
          <w:b/>
          <w:bCs/>
          <w:sz w:val="28"/>
          <w:szCs w:val="28"/>
        </w:rPr>
        <w:t>9</w:t>
      </w:r>
      <w:r w:rsidRPr="00423922">
        <w:rPr>
          <w:rFonts w:ascii="Times New Roman" w:hAnsi="Times New Roman" w:cs="Times New Roman"/>
          <w:b/>
          <w:bCs/>
          <w:sz w:val="28"/>
          <w:szCs w:val="28"/>
        </w:rPr>
        <w:t xml:space="preserve">. </w:t>
      </w:r>
      <w:r w:rsidR="0024060A" w:rsidRPr="00423922">
        <w:rPr>
          <w:rFonts w:ascii="Times New Roman" w:hAnsi="Times New Roman" w:cs="Times New Roman"/>
          <w:b/>
          <w:bCs/>
          <w:sz w:val="28"/>
          <w:szCs w:val="28"/>
        </w:rPr>
        <w:t xml:space="preserve">ИНФОРМАЦИОННОЕ ПИСЬМО МИНФИНА РОССИИ ОТ 20 ЯНВАРЯ 2026 Г. № 24-01-06/3022 «ОБ ИЗМЕНЕНИИ ЦЕН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FEA7160"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Минфин сообщает о правилах изменения цены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связи с изменением ставки НДС. </w:t>
      </w:r>
    </w:p>
    <w:p w14:paraId="200C4239"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Цена является существенным условием контракта, в связи с чем его изменение допускается исключительно в случаях и в пределах, предусмотренных Законом № 44-ФЗ. </w:t>
      </w:r>
    </w:p>
    <w:p w14:paraId="11555017"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Положения Закона № 44-ФЗ позволяют по соглашению сторон осуществить изменение любых существенных условий контракта, заключенного до 1 января 2027 г., если возникли независящие от сторон обстоятельства, влекущие невозможность его исполнения. </w:t>
      </w:r>
    </w:p>
    <w:p w14:paraId="10EE2B7F"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Такое изменение осуществляется на основании решения Правительства РФ, высшего исполнительного органа субъекта РФ, местной администрации. </w:t>
      </w:r>
    </w:p>
    <w:p w14:paraId="1C074FE6"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При этом положениями Закона № 44-ФЗ не ограничивается возможность предусмотреть в принимаемом решении особые условия и (или) определить круг контрактов (сферу правоотношений), на которые распространяется такое решение. </w:t>
      </w:r>
    </w:p>
    <w:p w14:paraId="1F3E4A24"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33AF0798" w14:textId="77CE1B8E" w:rsidR="0024060A" w:rsidRPr="00423922" w:rsidRDefault="00423922"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lastRenderedPageBreak/>
        <w:t>20</w:t>
      </w:r>
      <w:r w:rsidR="000C611C" w:rsidRPr="00423922">
        <w:rPr>
          <w:rFonts w:ascii="Times New Roman" w:hAnsi="Times New Roman" w:cs="Times New Roman"/>
          <w:b/>
          <w:bCs/>
          <w:caps/>
          <w:sz w:val="28"/>
          <w:szCs w:val="28"/>
        </w:rPr>
        <w:t xml:space="preserve">. </w:t>
      </w:r>
      <w:r w:rsidR="0024060A" w:rsidRPr="00423922">
        <w:rPr>
          <w:rFonts w:ascii="Times New Roman" w:hAnsi="Times New Roman" w:cs="Times New Roman"/>
          <w:b/>
          <w:bCs/>
          <w:caps/>
          <w:sz w:val="28"/>
          <w:szCs w:val="28"/>
        </w:rPr>
        <w:t>Информация Минстроя России «Информация для заявителя о действиях и процедурах при обращении за предоставлением государственной услуги «Принятие решения об установлении публичного сервитута в соответствии со статьей 3.9 Федерального закона «О введении в действие Земельного кодекса Российской Федерации» для использования земельных участков и (или) земель в целях эксплуатации объектов теплоснабжения и водоснабжения населения, водоотведения, являющихся линейными объектами и расположенных на территориях 2 и более субъектов Российской Федерации»</w:t>
      </w:r>
    </w:p>
    <w:p w14:paraId="5CC314C1"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Минстрой России подготовил информацию для заявителя о действиях и процедурах при обращении за предоставлением государственной услуги по принятию решения об установлении публичного сервитута.</w:t>
      </w:r>
    </w:p>
    <w:p w14:paraId="43001557"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Речь идет о принятии решения об установлении публичного сервитута в соответствии со статьей 3.9 Федерального закона «О введении в действие Земельного кодекса Российской Федерации» для использования земельных участков и (или) земель в целях эксплуатации объектов теплоснабжения и водоснабжения населения, водоотведения, являющихся линейными объектами и расположенных на территориях 2 и более субъектов РФ. </w:t>
      </w:r>
    </w:p>
    <w:p w14:paraId="753F93A7"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Описан алгоритм действий заявителя: </w:t>
      </w:r>
    </w:p>
    <w:p w14:paraId="231060D6"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при необходимости установления публичного сервитута; </w:t>
      </w:r>
    </w:p>
    <w:p w14:paraId="2FBD499C" w14:textId="6016B992" w:rsidR="00FE379B"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при обращении за решением о прекращении публичного сервитута, за исправлением допущенных опечаток и (или) ошибок в выданных в результате предоставления услуги документах.</w:t>
      </w:r>
    </w:p>
    <w:p w14:paraId="6C5E3B8A" w14:textId="77777777" w:rsidR="00423922" w:rsidRPr="00423922" w:rsidRDefault="00423922" w:rsidP="00423922">
      <w:pPr>
        <w:autoSpaceDE w:val="0"/>
        <w:autoSpaceDN w:val="0"/>
        <w:adjustRightInd w:val="0"/>
        <w:spacing w:after="0" w:line="360" w:lineRule="exact"/>
        <w:ind w:firstLine="709"/>
        <w:jc w:val="both"/>
        <w:rPr>
          <w:rFonts w:ascii="Times New Roman" w:hAnsi="Times New Roman" w:cs="Times New Roman"/>
          <w:sz w:val="28"/>
          <w:szCs w:val="28"/>
        </w:rPr>
      </w:pPr>
    </w:p>
    <w:p w14:paraId="5CC9A82D" w14:textId="3B864851" w:rsidR="001F7CEC" w:rsidRPr="00423922" w:rsidRDefault="001F7CEC" w:rsidP="00423922">
      <w:pPr>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ОБЗОР РЕГИОНАЛЬНОГО ЗАКОНОДАТЕЛЬСТВА</w:t>
      </w:r>
    </w:p>
    <w:p w14:paraId="3F45AB20" w14:textId="06F26068" w:rsidR="001F7CEC" w:rsidRPr="00423922" w:rsidRDefault="001F7CEC" w:rsidP="00423922">
      <w:pPr>
        <w:autoSpaceDE w:val="0"/>
        <w:autoSpaceDN w:val="0"/>
        <w:adjustRightInd w:val="0"/>
        <w:spacing w:after="0" w:line="360" w:lineRule="exact"/>
        <w:ind w:firstLine="709"/>
        <w:jc w:val="center"/>
        <w:rPr>
          <w:rFonts w:ascii="Times New Roman" w:hAnsi="Times New Roman" w:cs="Times New Roman"/>
          <w:b/>
          <w:bCs/>
          <w:sz w:val="28"/>
          <w:szCs w:val="28"/>
        </w:rPr>
      </w:pPr>
      <w:r w:rsidRPr="00423922">
        <w:rPr>
          <w:rFonts w:ascii="Times New Roman" w:hAnsi="Times New Roman" w:cs="Times New Roman"/>
          <w:b/>
          <w:bCs/>
          <w:sz w:val="28"/>
          <w:szCs w:val="28"/>
        </w:rPr>
        <w:t>(</w:t>
      </w:r>
      <w:r w:rsidR="0024060A" w:rsidRPr="00423922">
        <w:rPr>
          <w:rFonts w:ascii="Times New Roman" w:hAnsi="Times New Roman" w:cs="Times New Roman"/>
          <w:b/>
          <w:bCs/>
          <w:sz w:val="28"/>
          <w:szCs w:val="28"/>
        </w:rPr>
        <w:t xml:space="preserve">с 01 </w:t>
      </w:r>
      <w:r w:rsidR="00EE511B" w:rsidRPr="00423922">
        <w:rPr>
          <w:rFonts w:ascii="Times New Roman" w:hAnsi="Times New Roman" w:cs="Times New Roman"/>
          <w:b/>
          <w:bCs/>
          <w:sz w:val="28"/>
          <w:szCs w:val="28"/>
        </w:rPr>
        <w:t>января</w:t>
      </w:r>
      <w:r w:rsidR="0024060A" w:rsidRPr="00423922">
        <w:rPr>
          <w:rFonts w:ascii="Times New Roman" w:hAnsi="Times New Roman" w:cs="Times New Roman"/>
          <w:b/>
          <w:bCs/>
          <w:sz w:val="28"/>
          <w:szCs w:val="28"/>
        </w:rPr>
        <w:t xml:space="preserve"> 2026 г. по 31 </w:t>
      </w:r>
      <w:r w:rsidR="00EE511B" w:rsidRPr="00423922">
        <w:rPr>
          <w:rFonts w:ascii="Times New Roman" w:hAnsi="Times New Roman" w:cs="Times New Roman"/>
          <w:b/>
          <w:bCs/>
          <w:sz w:val="28"/>
          <w:szCs w:val="28"/>
        </w:rPr>
        <w:t>января</w:t>
      </w:r>
      <w:r w:rsidR="0024060A" w:rsidRPr="00423922">
        <w:rPr>
          <w:rFonts w:ascii="Times New Roman" w:hAnsi="Times New Roman" w:cs="Times New Roman"/>
          <w:b/>
          <w:bCs/>
          <w:sz w:val="28"/>
          <w:szCs w:val="28"/>
        </w:rPr>
        <w:t xml:space="preserve"> 2026 г.</w:t>
      </w:r>
      <w:r w:rsidRPr="00423922">
        <w:rPr>
          <w:rFonts w:ascii="Times New Roman" w:hAnsi="Times New Roman" w:cs="Times New Roman"/>
          <w:b/>
          <w:bCs/>
          <w:sz w:val="28"/>
          <w:szCs w:val="28"/>
        </w:rPr>
        <w:t>)</w:t>
      </w:r>
    </w:p>
    <w:p w14:paraId="630DD1AD" w14:textId="77777777" w:rsidR="0024060A" w:rsidRPr="00423922" w:rsidRDefault="0024060A" w:rsidP="00423922">
      <w:pPr>
        <w:autoSpaceDE w:val="0"/>
        <w:autoSpaceDN w:val="0"/>
        <w:adjustRightInd w:val="0"/>
        <w:spacing w:after="0" w:line="360" w:lineRule="exact"/>
        <w:ind w:firstLine="709"/>
        <w:jc w:val="center"/>
        <w:rPr>
          <w:rFonts w:ascii="Times New Roman" w:hAnsi="Times New Roman" w:cs="Times New Roman"/>
          <w:b/>
          <w:bCs/>
          <w:sz w:val="28"/>
          <w:szCs w:val="28"/>
        </w:rPr>
      </w:pPr>
    </w:p>
    <w:p w14:paraId="527C989C"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 xml:space="preserve">1. Постановление Правительства Пермского края от 19 января 2026 г. № 5-п «Об утверждении распределения иных межбюджетных трансфертов из бюджета Пермского края бюджетам муниципальных образований Пермского края на обеспечение условий для развития физической культуры и массового спорта на 2026 год». </w:t>
      </w:r>
    </w:p>
    <w:p w14:paraId="10F783F9"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b/>
          <w:bCs/>
          <w:sz w:val="28"/>
          <w:szCs w:val="28"/>
        </w:rPr>
        <w:t xml:space="preserve">  </w:t>
      </w:r>
      <w:r w:rsidRPr="00423922">
        <w:rPr>
          <w:rFonts w:ascii="Times New Roman" w:hAnsi="Times New Roman" w:cs="Times New Roman"/>
          <w:sz w:val="28"/>
          <w:szCs w:val="28"/>
        </w:rPr>
        <w:t xml:space="preserve">Утверждено распределение иных межбюджетных трансфертов из бюджета края бюджетам муниципальных образований края на обеспечение </w:t>
      </w:r>
      <w:r w:rsidRPr="00423922">
        <w:rPr>
          <w:rFonts w:ascii="Times New Roman" w:hAnsi="Times New Roman" w:cs="Times New Roman"/>
          <w:sz w:val="28"/>
          <w:szCs w:val="28"/>
        </w:rPr>
        <w:lastRenderedPageBreak/>
        <w:t>условий для развития физической культуры и массового спорта на 2026 год в размере 60604823,20 руб.</w:t>
      </w:r>
    </w:p>
    <w:p w14:paraId="55617B53"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57C3A601" w14:textId="2A533A28"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 xml:space="preserve">2. Постановление Правительства Пермского края от 22 января 2026 г. № 9-п «Об утверждении перечня случаев подготовки проектов генеральных планов, проектов правил землепользования и застройки, утверждения проектов планировки территории, проектов межевания территории, проектов, предусматривающих внесение в них изменений, без проведения общественных обсуждений или публичных слушаний» </w:t>
      </w:r>
    </w:p>
    <w:p w14:paraId="14A7C826" w14:textId="55EAD8B0"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  Указано, что подготовка проектов генеральных планов, проектов, предусматривающих внесение в них изменений, без проведения общественных обсуждений или публичных слушаний осуществляется в случаях: установления, изменения границ функциональных зон, положения о территориальном планировании в целях размещения объектов федерального значения, объектов регионального значения, объектов местного значения, реализации приоритетных инвестиционных проектов края, инвестиционных проектов края, приоритетных инвестиционных проектов муниципальных образований края, инвестиционных проектов муниципальных образований края, осуществления комплексного развития территории, концессионных соглашений, реализуемых на территории края, соглашений о государственно-частном партнерстве, муниципально-частном партнерстве; включения мероприятий по размещению объектов местного значения; изменения наименования существующих и планируемых объектов местного значения, в том числе их основных характеристик и местоположения, в случаях, если указанные изменения не приводят к изменению их назначения; изменения наименования муниципального образования края, населенного пункта, входящего в состав муниципального образования края, в том числе в связи с их преобразованием в целях приведения в соответствие с действующим законодательством, изменения границ населенного пункта в случае включения в границы населенного пункта земельного участка (земельных участков) из земель лесного фонда в случае, если его (их) граница является смежной с земельными участками, расположенными в границах населенного пункта; внесения изменений в генеральный план вследствие исполнения судебного акта, вступившего в законную силу. </w:t>
      </w:r>
    </w:p>
    <w:p w14:paraId="03B603D8"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Признано утратившим силу постановление Правительства края от 18 мая 2022 г. № 425-п «Об утверждении перечня случаев утверждения в 2022 - 2025 годах проектов о внесении изменений в генеральные планы и правила землепользования и застройки, проектов планировки территории, проектов межевания территории, проектов, предусматривающих внесение изменений в </w:t>
      </w:r>
      <w:r w:rsidRPr="00423922">
        <w:rPr>
          <w:rFonts w:ascii="Times New Roman" w:hAnsi="Times New Roman" w:cs="Times New Roman"/>
          <w:sz w:val="28"/>
          <w:szCs w:val="28"/>
        </w:rPr>
        <w:lastRenderedPageBreak/>
        <w:t xml:space="preserve">проекты планировки территории, проекты межевания территории, без проведения общественных обсуждений или публичных слушаний». </w:t>
      </w:r>
    </w:p>
    <w:p w14:paraId="78BE251F"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Вступает в силу через 10 дней после дня официального опубликования. </w:t>
      </w:r>
    </w:p>
    <w:p w14:paraId="31A3042F"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19889C58" w14:textId="0B2AEF34"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 xml:space="preserve">3. Постановление Правительства Пермского края от 22 января 2026 г. № 12-п «О внесении изменений в Положение о Министерстве промышленности и торговли Пермского края, утвержденное постановлением Правительства Пермского края от 26 апреля 2013 г. № 350-п» </w:t>
      </w:r>
    </w:p>
    <w:p w14:paraId="28E29105" w14:textId="3861FCB6"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Установлено, что Министерство промышленности и торговли края имеет право составлять протоколы и рассматривать дела об административных правонарушениях, предусмотренных статьей 14.16.1 </w:t>
      </w:r>
      <w:r w:rsidR="007E3B37">
        <w:rPr>
          <w:rFonts w:ascii="Times New Roman" w:hAnsi="Times New Roman" w:cs="Times New Roman"/>
          <w:sz w:val="28"/>
          <w:szCs w:val="28"/>
        </w:rPr>
        <w:t>Кодекса об административных правонарушениях Российской Федерации</w:t>
      </w:r>
      <w:r w:rsidRPr="00423922">
        <w:rPr>
          <w:rFonts w:ascii="Times New Roman" w:hAnsi="Times New Roman" w:cs="Times New Roman"/>
          <w:sz w:val="28"/>
          <w:szCs w:val="28"/>
        </w:rPr>
        <w:t xml:space="preserve">, связанных с нарушением запрета продажи безалкогольных тонизирующих напитков (в том числе энергетических) несовершеннолетним на территории края. </w:t>
      </w:r>
    </w:p>
    <w:p w14:paraId="16E2375F"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Вступает в силу через 10 дней после дня официального опубликования. </w:t>
      </w:r>
    </w:p>
    <w:p w14:paraId="7F730715"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0B73F398" w14:textId="6032446A"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b/>
          <w:bCs/>
          <w:caps/>
          <w:sz w:val="28"/>
          <w:szCs w:val="28"/>
        </w:rPr>
      </w:pPr>
      <w:r w:rsidRPr="00423922">
        <w:rPr>
          <w:rFonts w:ascii="Times New Roman" w:hAnsi="Times New Roman" w:cs="Times New Roman"/>
          <w:b/>
          <w:bCs/>
          <w:caps/>
          <w:sz w:val="28"/>
          <w:szCs w:val="28"/>
        </w:rPr>
        <w:t xml:space="preserve">4. Постановление Правительства Пермского края от 22 января 2026 г. № 16-п «Об утверждении распределения иных межбюджетных трансфертов из бюджета Пермского края бюджетам муниципальных образований Пермского края на приобретение оборудования для профильных медицинских классов в образовательных организациях Пермского края на 2026 год» </w:t>
      </w:r>
    </w:p>
    <w:p w14:paraId="23B6B763" w14:textId="05C66A1A"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r w:rsidRPr="00423922">
        <w:rPr>
          <w:rFonts w:ascii="Times New Roman" w:hAnsi="Times New Roman" w:cs="Times New Roman"/>
          <w:sz w:val="28"/>
          <w:szCs w:val="28"/>
        </w:rPr>
        <w:t xml:space="preserve">  Распределение иных межбюджетных трансфертов из бюджета края бюджетам муниципальных образований края на приобретение оборудования для профильных медицинских классов в образовательных организациях края на 2026 год утверждено в объеме 21000000,00 руб. </w:t>
      </w:r>
    </w:p>
    <w:p w14:paraId="33A6093D"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2356C6A3"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sz w:val="28"/>
          <w:szCs w:val="28"/>
        </w:rPr>
      </w:pPr>
    </w:p>
    <w:p w14:paraId="69ADBCA5" w14:textId="77777777" w:rsidR="0024060A" w:rsidRPr="00423922" w:rsidRDefault="0024060A" w:rsidP="007E3B37">
      <w:pPr>
        <w:autoSpaceDE w:val="0"/>
        <w:autoSpaceDN w:val="0"/>
        <w:adjustRightInd w:val="0"/>
        <w:spacing w:after="0" w:line="360" w:lineRule="exact"/>
        <w:ind w:firstLine="709"/>
        <w:jc w:val="center"/>
        <w:rPr>
          <w:rFonts w:ascii="Times New Roman" w:hAnsi="Times New Roman" w:cs="Times New Roman"/>
          <w:b/>
          <w:bCs/>
          <w:sz w:val="28"/>
          <w:szCs w:val="28"/>
        </w:rPr>
      </w:pPr>
    </w:p>
    <w:p w14:paraId="11A66C2E" w14:textId="28FC4CD8" w:rsidR="0024060A" w:rsidRPr="00423922" w:rsidRDefault="0024060A" w:rsidP="007E3B37">
      <w:pPr>
        <w:spacing w:after="0" w:line="360" w:lineRule="exact"/>
        <w:ind w:right="-1" w:firstLine="709"/>
        <w:jc w:val="both"/>
        <w:rPr>
          <w:rFonts w:ascii="Times New Roman" w:eastAsia="Times New Roman" w:hAnsi="Times New Roman" w:cs="Times New Roman"/>
          <w:sz w:val="28"/>
          <w:szCs w:val="28"/>
          <w:lang w:eastAsia="ru-RU"/>
        </w:rPr>
      </w:pPr>
      <w:r w:rsidRPr="00423922">
        <w:rPr>
          <w:rFonts w:ascii="Times New Roman" w:eastAsia="Times New Roman" w:hAnsi="Times New Roman" w:cs="Times New Roman"/>
          <w:b/>
          <w:bCs/>
          <w:sz w:val="28"/>
          <w:szCs w:val="28"/>
          <w:lang w:eastAsia="ru-RU"/>
        </w:rPr>
        <w:tab/>
      </w:r>
      <w:r w:rsidRPr="00423922">
        <w:rPr>
          <w:rFonts w:ascii="Times New Roman" w:eastAsia="Times New Roman" w:hAnsi="Times New Roman" w:cs="Times New Roman"/>
          <w:sz w:val="28"/>
          <w:szCs w:val="28"/>
          <w:lang w:eastAsia="ru-RU"/>
        </w:rPr>
        <w:t xml:space="preserve"> </w:t>
      </w:r>
    </w:p>
    <w:p w14:paraId="3890DB75" w14:textId="77777777" w:rsidR="0024060A" w:rsidRPr="00423922" w:rsidRDefault="0024060A" w:rsidP="007E3B37">
      <w:pPr>
        <w:spacing w:after="0" w:line="360" w:lineRule="exact"/>
        <w:ind w:right="-1" w:firstLine="709"/>
        <w:jc w:val="both"/>
        <w:rPr>
          <w:rFonts w:ascii="Times New Roman" w:eastAsia="Times New Roman" w:hAnsi="Times New Roman" w:cs="Times New Roman"/>
          <w:sz w:val="28"/>
          <w:szCs w:val="28"/>
          <w:lang w:eastAsia="ru-RU"/>
        </w:rPr>
      </w:pPr>
    </w:p>
    <w:p w14:paraId="34B0B5F5" w14:textId="77777777" w:rsidR="0024060A" w:rsidRPr="00423922" w:rsidRDefault="0024060A" w:rsidP="007E3B37">
      <w:pPr>
        <w:spacing w:after="0" w:line="360" w:lineRule="exact"/>
        <w:ind w:right="-1" w:firstLine="709"/>
        <w:jc w:val="both"/>
        <w:rPr>
          <w:rFonts w:ascii="Times New Roman" w:eastAsia="Times New Roman" w:hAnsi="Times New Roman" w:cs="Times New Roman"/>
          <w:sz w:val="28"/>
          <w:szCs w:val="28"/>
          <w:lang w:eastAsia="ru-RU"/>
        </w:rPr>
      </w:pPr>
    </w:p>
    <w:p w14:paraId="0D3988EF" w14:textId="77777777" w:rsidR="0024060A" w:rsidRPr="00423922" w:rsidRDefault="0024060A" w:rsidP="007E3B37">
      <w:pPr>
        <w:autoSpaceDE w:val="0"/>
        <w:autoSpaceDN w:val="0"/>
        <w:adjustRightInd w:val="0"/>
        <w:spacing w:after="0" w:line="360" w:lineRule="exact"/>
        <w:ind w:firstLine="709"/>
        <w:jc w:val="both"/>
        <w:rPr>
          <w:rFonts w:ascii="Times New Roman" w:hAnsi="Times New Roman" w:cs="Times New Roman"/>
          <w:b/>
          <w:bCs/>
          <w:sz w:val="28"/>
          <w:szCs w:val="28"/>
        </w:rPr>
      </w:pPr>
    </w:p>
    <w:p w14:paraId="3FBD7F2A" w14:textId="63C440E7" w:rsidR="00757687" w:rsidRPr="00423922" w:rsidRDefault="00757687" w:rsidP="007E3B37">
      <w:pPr>
        <w:autoSpaceDE w:val="0"/>
        <w:autoSpaceDN w:val="0"/>
        <w:adjustRightInd w:val="0"/>
        <w:spacing w:after="0" w:line="360" w:lineRule="exact"/>
        <w:ind w:firstLine="709"/>
        <w:jc w:val="center"/>
        <w:rPr>
          <w:rFonts w:ascii="Times New Roman" w:hAnsi="Times New Roman" w:cs="Times New Roman"/>
          <w:b/>
          <w:bCs/>
          <w:sz w:val="28"/>
          <w:szCs w:val="28"/>
        </w:rPr>
      </w:pPr>
    </w:p>
    <w:p w14:paraId="0C63D51E" w14:textId="77777777" w:rsidR="003609DE" w:rsidRPr="00423922" w:rsidRDefault="003609DE" w:rsidP="00423922">
      <w:pPr>
        <w:autoSpaceDE w:val="0"/>
        <w:autoSpaceDN w:val="0"/>
        <w:adjustRightInd w:val="0"/>
        <w:spacing w:after="0" w:line="360" w:lineRule="exact"/>
        <w:ind w:firstLine="709"/>
        <w:jc w:val="both"/>
        <w:rPr>
          <w:rFonts w:ascii="Times New Roman" w:hAnsi="Times New Roman" w:cs="Times New Roman"/>
          <w:sz w:val="28"/>
          <w:szCs w:val="28"/>
        </w:rPr>
      </w:pPr>
    </w:p>
    <w:p w14:paraId="6AC58154" w14:textId="77777777" w:rsidR="006273DC" w:rsidRPr="00423922" w:rsidRDefault="006273DC" w:rsidP="00423922">
      <w:pPr>
        <w:autoSpaceDE w:val="0"/>
        <w:autoSpaceDN w:val="0"/>
        <w:adjustRightInd w:val="0"/>
        <w:spacing w:after="0" w:line="360" w:lineRule="exact"/>
        <w:ind w:firstLine="709"/>
        <w:jc w:val="both"/>
        <w:rPr>
          <w:rFonts w:ascii="Times New Roman" w:hAnsi="Times New Roman" w:cs="Times New Roman"/>
          <w:sz w:val="28"/>
          <w:szCs w:val="28"/>
        </w:rPr>
      </w:pPr>
    </w:p>
    <w:sectPr w:rsidR="006273DC" w:rsidRPr="00423922" w:rsidSect="00741FA3">
      <w:footerReference w:type="default" r:id="rId8"/>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F1CD" w14:textId="77777777" w:rsidR="00147C9E" w:rsidRDefault="00147C9E">
      <w:pPr>
        <w:spacing w:after="0" w:line="240" w:lineRule="auto"/>
      </w:pPr>
      <w:r>
        <w:separator/>
      </w:r>
    </w:p>
  </w:endnote>
  <w:endnote w:type="continuationSeparator" w:id="0">
    <w:p w14:paraId="285480DA" w14:textId="77777777" w:rsidR="00147C9E" w:rsidRDefault="001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8603705"/>
      <w:docPartObj>
        <w:docPartGallery w:val="Page Numbers (Bottom of Page)"/>
        <w:docPartUnique/>
      </w:docPartObj>
    </w:sdtPr>
    <w:sdtEndPr>
      <w:rPr>
        <w:rFonts w:ascii="Times New Roman" w:hAnsi="Times New Roman" w:cs="Times New Roman"/>
      </w:rPr>
    </w:sdtEndPr>
    <w:sdtContent>
      <w:p w14:paraId="5B60691E" w14:textId="77777777" w:rsidR="00CC0BA8" w:rsidRPr="00A4384F" w:rsidRDefault="00CC0BA8">
        <w:pPr>
          <w:pStyle w:val="a4"/>
          <w:jc w:val="center"/>
          <w:rPr>
            <w:rFonts w:ascii="Times New Roman" w:hAnsi="Times New Roman" w:cs="Times New Roman"/>
          </w:rPr>
        </w:pPr>
        <w:r w:rsidRPr="00A4384F">
          <w:rPr>
            <w:rFonts w:ascii="Times New Roman" w:hAnsi="Times New Roman" w:cs="Times New Roman"/>
          </w:rPr>
          <w:fldChar w:fldCharType="begin"/>
        </w:r>
        <w:r w:rsidRPr="00A4384F">
          <w:rPr>
            <w:rFonts w:ascii="Times New Roman" w:hAnsi="Times New Roman" w:cs="Times New Roman"/>
          </w:rPr>
          <w:instrText>PAGE   \* MERGEFORMAT</w:instrText>
        </w:r>
        <w:r w:rsidRPr="00A4384F">
          <w:rPr>
            <w:rFonts w:ascii="Times New Roman" w:hAnsi="Times New Roman" w:cs="Times New Roman"/>
          </w:rPr>
          <w:fldChar w:fldCharType="separate"/>
        </w:r>
        <w:r w:rsidR="004576AE">
          <w:rPr>
            <w:rFonts w:ascii="Times New Roman" w:hAnsi="Times New Roman" w:cs="Times New Roman"/>
            <w:noProof/>
          </w:rPr>
          <w:t>5</w:t>
        </w:r>
        <w:r w:rsidRPr="00A4384F">
          <w:rPr>
            <w:rFonts w:ascii="Times New Roman" w:hAnsi="Times New Roman" w:cs="Times New Roman"/>
          </w:rPr>
          <w:fldChar w:fldCharType="end"/>
        </w:r>
      </w:p>
    </w:sdtContent>
  </w:sdt>
  <w:p w14:paraId="1CAD9BDC" w14:textId="77777777" w:rsidR="00CC0BA8" w:rsidRDefault="00CC0BA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A908B" w14:textId="77777777" w:rsidR="00147C9E" w:rsidRDefault="00147C9E">
      <w:pPr>
        <w:spacing w:after="0" w:line="240" w:lineRule="auto"/>
      </w:pPr>
      <w:r>
        <w:separator/>
      </w:r>
    </w:p>
  </w:footnote>
  <w:footnote w:type="continuationSeparator" w:id="0">
    <w:p w14:paraId="7D2B4355" w14:textId="77777777" w:rsidR="00147C9E" w:rsidRDefault="00147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40DB"/>
    <w:multiLevelType w:val="hybridMultilevel"/>
    <w:tmpl w:val="ABC0731A"/>
    <w:lvl w:ilvl="0" w:tplc="52CCE9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8B2058"/>
    <w:multiLevelType w:val="hybridMultilevel"/>
    <w:tmpl w:val="531E109C"/>
    <w:lvl w:ilvl="0" w:tplc="5F7EC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ABE4450"/>
    <w:multiLevelType w:val="hybridMultilevel"/>
    <w:tmpl w:val="FFB6756E"/>
    <w:lvl w:ilvl="0" w:tplc="588A2CFA">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12C8287D"/>
    <w:multiLevelType w:val="hybridMultilevel"/>
    <w:tmpl w:val="5342858A"/>
    <w:lvl w:ilvl="0" w:tplc="DBE4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481EDC"/>
    <w:multiLevelType w:val="hybridMultilevel"/>
    <w:tmpl w:val="7C683C26"/>
    <w:lvl w:ilvl="0" w:tplc="2E943F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D47EFD"/>
    <w:multiLevelType w:val="hybridMultilevel"/>
    <w:tmpl w:val="68E82B90"/>
    <w:lvl w:ilvl="0" w:tplc="F0A6D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F7217DA"/>
    <w:multiLevelType w:val="hybridMultilevel"/>
    <w:tmpl w:val="7756B346"/>
    <w:lvl w:ilvl="0" w:tplc="23F6F848">
      <w:start w:val="1"/>
      <w:numFmt w:val="decimal"/>
      <w:lvlText w:val="%1."/>
      <w:lvlJc w:val="left"/>
      <w:pPr>
        <w:ind w:left="1002"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FB64F9F"/>
    <w:multiLevelType w:val="hybridMultilevel"/>
    <w:tmpl w:val="DAD6E45C"/>
    <w:lvl w:ilvl="0" w:tplc="137AAC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BB091E"/>
    <w:multiLevelType w:val="hybridMultilevel"/>
    <w:tmpl w:val="C38EC2B4"/>
    <w:lvl w:ilvl="0" w:tplc="E2BE31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FF06289"/>
    <w:multiLevelType w:val="hybridMultilevel"/>
    <w:tmpl w:val="1FB2765E"/>
    <w:lvl w:ilvl="0" w:tplc="88047628">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25434B1"/>
    <w:multiLevelType w:val="hybridMultilevel"/>
    <w:tmpl w:val="CAC0B414"/>
    <w:lvl w:ilvl="0" w:tplc="16A4F9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19E1876"/>
    <w:multiLevelType w:val="hybridMultilevel"/>
    <w:tmpl w:val="197E7882"/>
    <w:lvl w:ilvl="0" w:tplc="7504952A">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79E4CAB"/>
    <w:multiLevelType w:val="hybridMultilevel"/>
    <w:tmpl w:val="6A1C2F62"/>
    <w:lvl w:ilvl="0" w:tplc="D474E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B843F64"/>
    <w:multiLevelType w:val="hybridMultilevel"/>
    <w:tmpl w:val="ED5C9876"/>
    <w:lvl w:ilvl="0" w:tplc="6A0246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D382682"/>
    <w:multiLevelType w:val="hybridMultilevel"/>
    <w:tmpl w:val="6D4EB972"/>
    <w:lvl w:ilvl="0" w:tplc="C860B4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FC15EF9"/>
    <w:multiLevelType w:val="hybridMultilevel"/>
    <w:tmpl w:val="C56085D0"/>
    <w:lvl w:ilvl="0" w:tplc="595A6A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24B46A5"/>
    <w:multiLevelType w:val="hybridMultilevel"/>
    <w:tmpl w:val="4D6A7534"/>
    <w:lvl w:ilvl="0" w:tplc="3D86CC4E">
      <w:start w:val="1"/>
      <w:numFmt w:val="decimal"/>
      <w:lvlText w:val="%1."/>
      <w:lvlJc w:val="left"/>
      <w:pPr>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3703D65"/>
    <w:multiLevelType w:val="hybridMultilevel"/>
    <w:tmpl w:val="7AC09748"/>
    <w:lvl w:ilvl="0" w:tplc="8604D19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8" w15:restartNumberingAfterBreak="0">
    <w:nsid w:val="545E7279"/>
    <w:multiLevelType w:val="hybridMultilevel"/>
    <w:tmpl w:val="1486986C"/>
    <w:lvl w:ilvl="0" w:tplc="CF1843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61B6824"/>
    <w:multiLevelType w:val="hybridMultilevel"/>
    <w:tmpl w:val="2542DE48"/>
    <w:lvl w:ilvl="0" w:tplc="15084524">
      <w:start w:val="1"/>
      <w:numFmt w:val="decimal"/>
      <w:lvlText w:val="%1."/>
      <w:lvlJc w:val="left"/>
      <w:pPr>
        <w:ind w:left="1789" w:hanging="360"/>
      </w:pPr>
      <w:rPr>
        <w:rFonts w:hint="default"/>
        <w:b/>
        <w:bCs/>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0" w15:restartNumberingAfterBreak="0">
    <w:nsid w:val="66AE6D9C"/>
    <w:multiLevelType w:val="hybridMultilevel"/>
    <w:tmpl w:val="CA825BFC"/>
    <w:lvl w:ilvl="0" w:tplc="038E9F6E">
      <w:start w:val="1"/>
      <w:numFmt w:val="decimal"/>
      <w:lvlText w:val="%1."/>
      <w:lvlJc w:val="left"/>
      <w:pPr>
        <w:ind w:left="1014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7230469"/>
    <w:multiLevelType w:val="hybridMultilevel"/>
    <w:tmpl w:val="72A2195E"/>
    <w:lvl w:ilvl="0" w:tplc="43267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8F961FA"/>
    <w:multiLevelType w:val="hybridMultilevel"/>
    <w:tmpl w:val="D012EA5A"/>
    <w:lvl w:ilvl="0" w:tplc="B0BEFF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6BD0611E"/>
    <w:multiLevelType w:val="hybridMultilevel"/>
    <w:tmpl w:val="EDA2FF76"/>
    <w:lvl w:ilvl="0" w:tplc="E90898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71A81218"/>
    <w:multiLevelType w:val="hybridMultilevel"/>
    <w:tmpl w:val="29AC06EE"/>
    <w:lvl w:ilvl="0" w:tplc="5DDAD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C153EA"/>
    <w:multiLevelType w:val="hybridMultilevel"/>
    <w:tmpl w:val="DEA4BB4A"/>
    <w:lvl w:ilvl="0" w:tplc="B3844C50">
      <w:start w:val="9"/>
      <w:numFmt w:val="decimal"/>
      <w:lvlText w:val="%1."/>
      <w:lvlJc w:val="left"/>
      <w:pPr>
        <w:ind w:left="1287" w:hanging="360"/>
      </w:pPr>
      <w:rPr>
        <w:rFonts w:hint="default"/>
        <w:b/>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20010788">
    <w:abstractNumId w:val="9"/>
  </w:num>
  <w:num w:numId="2" w16cid:durableId="751972877">
    <w:abstractNumId w:val="18"/>
  </w:num>
  <w:num w:numId="3" w16cid:durableId="422456309">
    <w:abstractNumId w:val="10"/>
  </w:num>
  <w:num w:numId="4" w16cid:durableId="2121144781">
    <w:abstractNumId w:val="4"/>
  </w:num>
  <w:num w:numId="5" w16cid:durableId="1753236863">
    <w:abstractNumId w:val="1"/>
  </w:num>
  <w:num w:numId="6" w16cid:durableId="751124539">
    <w:abstractNumId w:val="19"/>
  </w:num>
  <w:num w:numId="7" w16cid:durableId="336619902">
    <w:abstractNumId w:val="11"/>
  </w:num>
  <w:num w:numId="8" w16cid:durableId="1051004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6338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15030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9258326">
    <w:abstractNumId w:val="13"/>
  </w:num>
  <w:num w:numId="12" w16cid:durableId="1842432510">
    <w:abstractNumId w:val="25"/>
  </w:num>
  <w:num w:numId="13" w16cid:durableId="1034160928">
    <w:abstractNumId w:val="5"/>
  </w:num>
  <w:num w:numId="14" w16cid:durableId="64110673">
    <w:abstractNumId w:val="17"/>
  </w:num>
  <w:num w:numId="15" w16cid:durableId="812716240">
    <w:abstractNumId w:val="23"/>
  </w:num>
  <w:num w:numId="16" w16cid:durableId="1690370210">
    <w:abstractNumId w:val="7"/>
  </w:num>
  <w:num w:numId="17" w16cid:durableId="509226054">
    <w:abstractNumId w:val="8"/>
  </w:num>
  <w:num w:numId="18" w16cid:durableId="1284844785">
    <w:abstractNumId w:val="14"/>
  </w:num>
  <w:num w:numId="19" w16cid:durableId="1199127243">
    <w:abstractNumId w:val="12"/>
  </w:num>
  <w:num w:numId="20" w16cid:durableId="1559780984">
    <w:abstractNumId w:val="15"/>
  </w:num>
  <w:num w:numId="21" w16cid:durableId="795874713">
    <w:abstractNumId w:val="24"/>
  </w:num>
  <w:num w:numId="22" w16cid:durableId="502014613">
    <w:abstractNumId w:val="21"/>
  </w:num>
  <w:num w:numId="23" w16cid:durableId="235477265">
    <w:abstractNumId w:val="3"/>
  </w:num>
  <w:num w:numId="24" w16cid:durableId="7979892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7065014">
    <w:abstractNumId w:val="22"/>
  </w:num>
  <w:num w:numId="26" w16cid:durableId="188744392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039"/>
    <w:rsid w:val="0000464D"/>
    <w:rsid w:val="000159F4"/>
    <w:rsid w:val="0001730B"/>
    <w:rsid w:val="00025C3E"/>
    <w:rsid w:val="00027BF0"/>
    <w:rsid w:val="00044144"/>
    <w:rsid w:val="00046AE0"/>
    <w:rsid w:val="00061CF3"/>
    <w:rsid w:val="00066294"/>
    <w:rsid w:val="00066DE2"/>
    <w:rsid w:val="00072722"/>
    <w:rsid w:val="0007770F"/>
    <w:rsid w:val="00082BEA"/>
    <w:rsid w:val="000937E8"/>
    <w:rsid w:val="000A2AEE"/>
    <w:rsid w:val="000A752F"/>
    <w:rsid w:val="000B0536"/>
    <w:rsid w:val="000B1B2A"/>
    <w:rsid w:val="000B275C"/>
    <w:rsid w:val="000C611C"/>
    <w:rsid w:val="000E5B89"/>
    <w:rsid w:val="001072CF"/>
    <w:rsid w:val="00111BB4"/>
    <w:rsid w:val="00125C41"/>
    <w:rsid w:val="001362E5"/>
    <w:rsid w:val="001435A3"/>
    <w:rsid w:val="001446FD"/>
    <w:rsid w:val="00147C9E"/>
    <w:rsid w:val="00147E73"/>
    <w:rsid w:val="001551F4"/>
    <w:rsid w:val="00163214"/>
    <w:rsid w:val="001756ED"/>
    <w:rsid w:val="00190B3A"/>
    <w:rsid w:val="00192CA7"/>
    <w:rsid w:val="001A4ABF"/>
    <w:rsid w:val="001C4233"/>
    <w:rsid w:val="001D3841"/>
    <w:rsid w:val="001D4C87"/>
    <w:rsid w:val="001F1477"/>
    <w:rsid w:val="001F7CEC"/>
    <w:rsid w:val="002019B2"/>
    <w:rsid w:val="00204D1E"/>
    <w:rsid w:val="00205FF4"/>
    <w:rsid w:val="002135CE"/>
    <w:rsid w:val="00217085"/>
    <w:rsid w:val="00222298"/>
    <w:rsid w:val="002261ED"/>
    <w:rsid w:val="0024060A"/>
    <w:rsid w:val="00242D18"/>
    <w:rsid w:val="002611AA"/>
    <w:rsid w:val="0026477A"/>
    <w:rsid w:val="002664B9"/>
    <w:rsid w:val="00266565"/>
    <w:rsid w:val="0027246B"/>
    <w:rsid w:val="002B63BF"/>
    <w:rsid w:val="002C00D3"/>
    <w:rsid w:val="002E1F40"/>
    <w:rsid w:val="002E5AF0"/>
    <w:rsid w:val="002F3F07"/>
    <w:rsid w:val="0031498E"/>
    <w:rsid w:val="00315E97"/>
    <w:rsid w:val="003251D2"/>
    <w:rsid w:val="00330FBC"/>
    <w:rsid w:val="00332AA9"/>
    <w:rsid w:val="00340CE3"/>
    <w:rsid w:val="00342C23"/>
    <w:rsid w:val="00347D40"/>
    <w:rsid w:val="00356038"/>
    <w:rsid w:val="00356C1E"/>
    <w:rsid w:val="003609DE"/>
    <w:rsid w:val="00371323"/>
    <w:rsid w:val="00373CE1"/>
    <w:rsid w:val="0038060F"/>
    <w:rsid w:val="003825F4"/>
    <w:rsid w:val="003844D2"/>
    <w:rsid w:val="00385358"/>
    <w:rsid w:val="00394E49"/>
    <w:rsid w:val="003A5335"/>
    <w:rsid w:val="003B1EC5"/>
    <w:rsid w:val="003B3EC3"/>
    <w:rsid w:val="003C0908"/>
    <w:rsid w:val="003D364C"/>
    <w:rsid w:val="003D6D43"/>
    <w:rsid w:val="003E3519"/>
    <w:rsid w:val="003E637C"/>
    <w:rsid w:val="003F1B40"/>
    <w:rsid w:val="0041110C"/>
    <w:rsid w:val="004120C6"/>
    <w:rsid w:val="00423922"/>
    <w:rsid w:val="00424BCF"/>
    <w:rsid w:val="00425956"/>
    <w:rsid w:val="004318E6"/>
    <w:rsid w:val="00442A27"/>
    <w:rsid w:val="00450F4E"/>
    <w:rsid w:val="004576AE"/>
    <w:rsid w:val="00462D4F"/>
    <w:rsid w:val="004677E8"/>
    <w:rsid w:val="00471FD3"/>
    <w:rsid w:val="004778B6"/>
    <w:rsid w:val="004836D5"/>
    <w:rsid w:val="00497E85"/>
    <w:rsid w:val="004B1EC2"/>
    <w:rsid w:val="004C7785"/>
    <w:rsid w:val="004D10DC"/>
    <w:rsid w:val="004D3274"/>
    <w:rsid w:val="004D3CA2"/>
    <w:rsid w:val="004E1DE4"/>
    <w:rsid w:val="004E36F8"/>
    <w:rsid w:val="004E4676"/>
    <w:rsid w:val="004E5E52"/>
    <w:rsid w:val="004E653F"/>
    <w:rsid w:val="005031E5"/>
    <w:rsid w:val="00506A54"/>
    <w:rsid w:val="00506C67"/>
    <w:rsid w:val="00516D5E"/>
    <w:rsid w:val="00522B4D"/>
    <w:rsid w:val="00523F54"/>
    <w:rsid w:val="0052423D"/>
    <w:rsid w:val="005278C0"/>
    <w:rsid w:val="0053311C"/>
    <w:rsid w:val="005425A6"/>
    <w:rsid w:val="00542AAB"/>
    <w:rsid w:val="00562E3F"/>
    <w:rsid w:val="0056452E"/>
    <w:rsid w:val="00597E47"/>
    <w:rsid w:val="005A16B7"/>
    <w:rsid w:val="005C150C"/>
    <w:rsid w:val="005C2F89"/>
    <w:rsid w:val="005E24C3"/>
    <w:rsid w:val="005E41EA"/>
    <w:rsid w:val="005F05C1"/>
    <w:rsid w:val="005F2404"/>
    <w:rsid w:val="005F3996"/>
    <w:rsid w:val="00600039"/>
    <w:rsid w:val="00611BDD"/>
    <w:rsid w:val="00615E5E"/>
    <w:rsid w:val="00615F85"/>
    <w:rsid w:val="006160A3"/>
    <w:rsid w:val="006273DC"/>
    <w:rsid w:val="00643D0E"/>
    <w:rsid w:val="006462C7"/>
    <w:rsid w:val="00684682"/>
    <w:rsid w:val="00684E9E"/>
    <w:rsid w:val="006A3469"/>
    <w:rsid w:val="006A3B28"/>
    <w:rsid w:val="006B12B3"/>
    <w:rsid w:val="00704C19"/>
    <w:rsid w:val="00705D7C"/>
    <w:rsid w:val="007240D4"/>
    <w:rsid w:val="00725D73"/>
    <w:rsid w:val="00735358"/>
    <w:rsid w:val="00740456"/>
    <w:rsid w:val="00741FA3"/>
    <w:rsid w:val="00742C0B"/>
    <w:rsid w:val="0074391A"/>
    <w:rsid w:val="00745671"/>
    <w:rsid w:val="00754CC4"/>
    <w:rsid w:val="00757687"/>
    <w:rsid w:val="00767EE3"/>
    <w:rsid w:val="00781403"/>
    <w:rsid w:val="0078382F"/>
    <w:rsid w:val="00785E69"/>
    <w:rsid w:val="00790251"/>
    <w:rsid w:val="00791950"/>
    <w:rsid w:val="00796C45"/>
    <w:rsid w:val="00797B4C"/>
    <w:rsid w:val="007E3B37"/>
    <w:rsid w:val="007F0A00"/>
    <w:rsid w:val="007F21F5"/>
    <w:rsid w:val="007F2FD7"/>
    <w:rsid w:val="00804A27"/>
    <w:rsid w:val="00804F54"/>
    <w:rsid w:val="008061F0"/>
    <w:rsid w:val="0080795A"/>
    <w:rsid w:val="00821803"/>
    <w:rsid w:val="00824F29"/>
    <w:rsid w:val="00841F33"/>
    <w:rsid w:val="00841FFC"/>
    <w:rsid w:val="0086256D"/>
    <w:rsid w:val="00871625"/>
    <w:rsid w:val="00880B17"/>
    <w:rsid w:val="00881D68"/>
    <w:rsid w:val="0088694E"/>
    <w:rsid w:val="00887204"/>
    <w:rsid w:val="008949A8"/>
    <w:rsid w:val="008A1CFF"/>
    <w:rsid w:val="008E0622"/>
    <w:rsid w:val="008E7331"/>
    <w:rsid w:val="008F5DED"/>
    <w:rsid w:val="009055AE"/>
    <w:rsid w:val="00907A09"/>
    <w:rsid w:val="009221C4"/>
    <w:rsid w:val="00927167"/>
    <w:rsid w:val="00930577"/>
    <w:rsid w:val="00934957"/>
    <w:rsid w:val="009349DE"/>
    <w:rsid w:val="009437BB"/>
    <w:rsid w:val="00944F80"/>
    <w:rsid w:val="00955BE1"/>
    <w:rsid w:val="00956EB4"/>
    <w:rsid w:val="00961FD3"/>
    <w:rsid w:val="00972A4D"/>
    <w:rsid w:val="00974B3B"/>
    <w:rsid w:val="00976F28"/>
    <w:rsid w:val="00987A55"/>
    <w:rsid w:val="009A1B56"/>
    <w:rsid w:val="009A27AA"/>
    <w:rsid w:val="009A3213"/>
    <w:rsid w:val="009B3CA6"/>
    <w:rsid w:val="009B3D5F"/>
    <w:rsid w:val="009C4BEF"/>
    <w:rsid w:val="009C6523"/>
    <w:rsid w:val="009C7FD8"/>
    <w:rsid w:val="009D7B9B"/>
    <w:rsid w:val="009E0344"/>
    <w:rsid w:val="009E45A8"/>
    <w:rsid w:val="009E5F45"/>
    <w:rsid w:val="00A052FA"/>
    <w:rsid w:val="00A066C3"/>
    <w:rsid w:val="00A06D10"/>
    <w:rsid w:val="00A13661"/>
    <w:rsid w:val="00A16CFD"/>
    <w:rsid w:val="00A2557F"/>
    <w:rsid w:val="00A2748C"/>
    <w:rsid w:val="00A321FA"/>
    <w:rsid w:val="00A67982"/>
    <w:rsid w:val="00A92DB5"/>
    <w:rsid w:val="00AB7A9F"/>
    <w:rsid w:val="00AC5A63"/>
    <w:rsid w:val="00AC5FC3"/>
    <w:rsid w:val="00AF52A8"/>
    <w:rsid w:val="00B06AD7"/>
    <w:rsid w:val="00B070AA"/>
    <w:rsid w:val="00B15041"/>
    <w:rsid w:val="00B15932"/>
    <w:rsid w:val="00B23173"/>
    <w:rsid w:val="00B26E3F"/>
    <w:rsid w:val="00B31B38"/>
    <w:rsid w:val="00B4674A"/>
    <w:rsid w:val="00B47274"/>
    <w:rsid w:val="00B5321D"/>
    <w:rsid w:val="00B613AF"/>
    <w:rsid w:val="00B625E8"/>
    <w:rsid w:val="00B64519"/>
    <w:rsid w:val="00B74E68"/>
    <w:rsid w:val="00B83864"/>
    <w:rsid w:val="00B919AC"/>
    <w:rsid w:val="00BA5162"/>
    <w:rsid w:val="00BA6934"/>
    <w:rsid w:val="00BC1E78"/>
    <w:rsid w:val="00BD6033"/>
    <w:rsid w:val="00BE6179"/>
    <w:rsid w:val="00BE7597"/>
    <w:rsid w:val="00BF1D62"/>
    <w:rsid w:val="00BF1E99"/>
    <w:rsid w:val="00BF2B3B"/>
    <w:rsid w:val="00BF5A1B"/>
    <w:rsid w:val="00BF5C85"/>
    <w:rsid w:val="00C07727"/>
    <w:rsid w:val="00C167FA"/>
    <w:rsid w:val="00C23C93"/>
    <w:rsid w:val="00C31757"/>
    <w:rsid w:val="00C73017"/>
    <w:rsid w:val="00C75426"/>
    <w:rsid w:val="00C764C6"/>
    <w:rsid w:val="00C84DB6"/>
    <w:rsid w:val="00C9134E"/>
    <w:rsid w:val="00C92440"/>
    <w:rsid w:val="00CA2643"/>
    <w:rsid w:val="00CB30EB"/>
    <w:rsid w:val="00CC0BA8"/>
    <w:rsid w:val="00CC1C1F"/>
    <w:rsid w:val="00CC31A2"/>
    <w:rsid w:val="00CE2B77"/>
    <w:rsid w:val="00D04752"/>
    <w:rsid w:val="00D07642"/>
    <w:rsid w:val="00D13F9F"/>
    <w:rsid w:val="00D231B7"/>
    <w:rsid w:val="00D2455D"/>
    <w:rsid w:val="00D35345"/>
    <w:rsid w:val="00D4261B"/>
    <w:rsid w:val="00D608F3"/>
    <w:rsid w:val="00D63DE8"/>
    <w:rsid w:val="00D74613"/>
    <w:rsid w:val="00D938F5"/>
    <w:rsid w:val="00D95210"/>
    <w:rsid w:val="00D977FA"/>
    <w:rsid w:val="00DB1697"/>
    <w:rsid w:val="00DB5C15"/>
    <w:rsid w:val="00DC4011"/>
    <w:rsid w:val="00DD017B"/>
    <w:rsid w:val="00DD33FE"/>
    <w:rsid w:val="00DD4D67"/>
    <w:rsid w:val="00DD5649"/>
    <w:rsid w:val="00DE1A22"/>
    <w:rsid w:val="00DE43EA"/>
    <w:rsid w:val="00DE5BAD"/>
    <w:rsid w:val="00DF7719"/>
    <w:rsid w:val="00E04A31"/>
    <w:rsid w:val="00E14C39"/>
    <w:rsid w:val="00E264F0"/>
    <w:rsid w:val="00E30897"/>
    <w:rsid w:val="00E45202"/>
    <w:rsid w:val="00E45410"/>
    <w:rsid w:val="00E706CA"/>
    <w:rsid w:val="00E824A1"/>
    <w:rsid w:val="00E85C7D"/>
    <w:rsid w:val="00E917EE"/>
    <w:rsid w:val="00E9234B"/>
    <w:rsid w:val="00E94FE0"/>
    <w:rsid w:val="00EB56EB"/>
    <w:rsid w:val="00EB6256"/>
    <w:rsid w:val="00EC1E25"/>
    <w:rsid w:val="00ED4CB4"/>
    <w:rsid w:val="00ED70FD"/>
    <w:rsid w:val="00EE0319"/>
    <w:rsid w:val="00EE511B"/>
    <w:rsid w:val="00EF3229"/>
    <w:rsid w:val="00F14762"/>
    <w:rsid w:val="00F163E0"/>
    <w:rsid w:val="00F24EA7"/>
    <w:rsid w:val="00F354CB"/>
    <w:rsid w:val="00F3759C"/>
    <w:rsid w:val="00F403E9"/>
    <w:rsid w:val="00F61E29"/>
    <w:rsid w:val="00F632A7"/>
    <w:rsid w:val="00F7457C"/>
    <w:rsid w:val="00F767FE"/>
    <w:rsid w:val="00FB3F10"/>
    <w:rsid w:val="00FC00AE"/>
    <w:rsid w:val="00FD352A"/>
    <w:rsid w:val="00FD6D29"/>
    <w:rsid w:val="00FE1898"/>
    <w:rsid w:val="00FE379B"/>
    <w:rsid w:val="00FE5361"/>
    <w:rsid w:val="00FF7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3451"/>
  <w15:docId w15:val="{87C53F5E-26BF-43A6-B485-5D3885B82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CEC"/>
    <w:pPr>
      <w:spacing w:after="160" w:line="259" w:lineRule="auto"/>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CEC"/>
    <w:pPr>
      <w:ind w:left="720"/>
      <w:contextualSpacing/>
    </w:pPr>
  </w:style>
  <w:style w:type="paragraph" w:styleId="a4">
    <w:name w:val="footer"/>
    <w:basedOn w:val="a"/>
    <w:link w:val="a5"/>
    <w:uiPriority w:val="99"/>
    <w:unhideWhenUsed/>
    <w:rsid w:val="001F7CEC"/>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F7CEC"/>
  </w:style>
  <w:style w:type="paragraph" w:styleId="a6">
    <w:name w:val="Balloon Text"/>
    <w:basedOn w:val="a"/>
    <w:link w:val="a7"/>
    <w:uiPriority w:val="99"/>
    <w:semiHidden/>
    <w:unhideWhenUsed/>
    <w:rsid w:val="00944F8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44F80"/>
    <w:rPr>
      <w:rFonts w:ascii="Segoe UI" w:hAnsi="Segoe UI" w:cs="Segoe UI"/>
      <w:sz w:val="18"/>
      <w:szCs w:val="18"/>
    </w:rPr>
  </w:style>
  <w:style w:type="paragraph" w:styleId="a8">
    <w:name w:val="Normal (Web)"/>
    <w:basedOn w:val="a"/>
    <w:uiPriority w:val="99"/>
    <w:unhideWhenUsed/>
    <w:rsid w:val="004677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07770F"/>
    <w:rPr>
      <w:color w:val="0563C1" w:themeColor="hyperlink"/>
      <w:u w:val="single"/>
    </w:rPr>
  </w:style>
  <w:style w:type="character" w:styleId="aa">
    <w:name w:val="Unresolved Mention"/>
    <w:basedOn w:val="a0"/>
    <w:uiPriority w:val="99"/>
    <w:semiHidden/>
    <w:unhideWhenUsed/>
    <w:rsid w:val="00077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453708">
      <w:bodyDiv w:val="1"/>
      <w:marLeft w:val="0"/>
      <w:marRight w:val="0"/>
      <w:marTop w:val="0"/>
      <w:marBottom w:val="0"/>
      <w:divBdr>
        <w:top w:val="none" w:sz="0" w:space="0" w:color="auto"/>
        <w:left w:val="none" w:sz="0" w:space="0" w:color="auto"/>
        <w:bottom w:val="none" w:sz="0" w:space="0" w:color="auto"/>
        <w:right w:val="none" w:sz="0" w:space="0" w:color="auto"/>
      </w:divBdr>
    </w:div>
    <w:div w:id="344944125">
      <w:bodyDiv w:val="1"/>
      <w:marLeft w:val="0"/>
      <w:marRight w:val="0"/>
      <w:marTop w:val="0"/>
      <w:marBottom w:val="0"/>
      <w:divBdr>
        <w:top w:val="none" w:sz="0" w:space="0" w:color="auto"/>
        <w:left w:val="none" w:sz="0" w:space="0" w:color="auto"/>
        <w:bottom w:val="none" w:sz="0" w:space="0" w:color="auto"/>
        <w:right w:val="none" w:sz="0" w:space="0" w:color="auto"/>
      </w:divBdr>
    </w:div>
    <w:div w:id="402291578">
      <w:bodyDiv w:val="1"/>
      <w:marLeft w:val="0"/>
      <w:marRight w:val="0"/>
      <w:marTop w:val="0"/>
      <w:marBottom w:val="0"/>
      <w:divBdr>
        <w:top w:val="none" w:sz="0" w:space="0" w:color="auto"/>
        <w:left w:val="none" w:sz="0" w:space="0" w:color="auto"/>
        <w:bottom w:val="none" w:sz="0" w:space="0" w:color="auto"/>
        <w:right w:val="none" w:sz="0" w:space="0" w:color="auto"/>
      </w:divBdr>
    </w:div>
    <w:div w:id="597369081">
      <w:bodyDiv w:val="1"/>
      <w:marLeft w:val="0"/>
      <w:marRight w:val="0"/>
      <w:marTop w:val="0"/>
      <w:marBottom w:val="0"/>
      <w:divBdr>
        <w:top w:val="none" w:sz="0" w:space="0" w:color="auto"/>
        <w:left w:val="none" w:sz="0" w:space="0" w:color="auto"/>
        <w:bottom w:val="none" w:sz="0" w:space="0" w:color="auto"/>
        <w:right w:val="none" w:sz="0" w:space="0" w:color="auto"/>
      </w:divBdr>
    </w:div>
    <w:div w:id="693579312">
      <w:bodyDiv w:val="1"/>
      <w:marLeft w:val="0"/>
      <w:marRight w:val="0"/>
      <w:marTop w:val="0"/>
      <w:marBottom w:val="0"/>
      <w:divBdr>
        <w:top w:val="none" w:sz="0" w:space="0" w:color="auto"/>
        <w:left w:val="none" w:sz="0" w:space="0" w:color="auto"/>
        <w:bottom w:val="none" w:sz="0" w:space="0" w:color="auto"/>
        <w:right w:val="none" w:sz="0" w:space="0" w:color="auto"/>
      </w:divBdr>
    </w:div>
    <w:div w:id="724177587">
      <w:bodyDiv w:val="1"/>
      <w:marLeft w:val="0"/>
      <w:marRight w:val="0"/>
      <w:marTop w:val="0"/>
      <w:marBottom w:val="0"/>
      <w:divBdr>
        <w:top w:val="none" w:sz="0" w:space="0" w:color="auto"/>
        <w:left w:val="none" w:sz="0" w:space="0" w:color="auto"/>
        <w:bottom w:val="none" w:sz="0" w:space="0" w:color="auto"/>
        <w:right w:val="none" w:sz="0" w:space="0" w:color="auto"/>
      </w:divBdr>
    </w:div>
    <w:div w:id="725764134">
      <w:bodyDiv w:val="1"/>
      <w:marLeft w:val="0"/>
      <w:marRight w:val="0"/>
      <w:marTop w:val="0"/>
      <w:marBottom w:val="0"/>
      <w:divBdr>
        <w:top w:val="none" w:sz="0" w:space="0" w:color="auto"/>
        <w:left w:val="none" w:sz="0" w:space="0" w:color="auto"/>
        <w:bottom w:val="none" w:sz="0" w:space="0" w:color="auto"/>
        <w:right w:val="none" w:sz="0" w:space="0" w:color="auto"/>
      </w:divBdr>
    </w:div>
    <w:div w:id="834955125">
      <w:bodyDiv w:val="1"/>
      <w:marLeft w:val="0"/>
      <w:marRight w:val="0"/>
      <w:marTop w:val="0"/>
      <w:marBottom w:val="0"/>
      <w:divBdr>
        <w:top w:val="none" w:sz="0" w:space="0" w:color="auto"/>
        <w:left w:val="none" w:sz="0" w:space="0" w:color="auto"/>
        <w:bottom w:val="none" w:sz="0" w:space="0" w:color="auto"/>
        <w:right w:val="none" w:sz="0" w:space="0" w:color="auto"/>
      </w:divBdr>
    </w:div>
    <w:div w:id="1037117711">
      <w:bodyDiv w:val="1"/>
      <w:marLeft w:val="0"/>
      <w:marRight w:val="0"/>
      <w:marTop w:val="0"/>
      <w:marBottom w:val="0"/>
      <w:divBdr>
        <w:top w:val="none" w:sz="0" w:space="0" w:color="auto"/>
        <w:left w:val="none" w:sz="0" w:space="0" w:color="auto"/>
        <w:bottom w:val="none" w:sz="0" w:space="0" w:color="auto"/>
        <w:right w:val="none" w:sz="0" w:space="0" w:color="auto"/>
      </w:divBdr>
    </w:div>
    <w:div w:id="1185971863">
      <w:bodyDiv w:val="1"/>
      <w:marLeft w:val="0"/>
      <w:marRight w:val="0"/>
      <w:marTop w:val="0"/>
      <w:marBottom w:val="0"/>
      <w:divBdr>
        <w:top w:val="none" w:sz="0" w:space="0" w:color="auto"/>
        <w:left w:val="none" w:sz="0" w:space="0" w:color="auto"/>
        <w:bottom w:val="none" w:sz="0" w:space="0" w:color="auto"/>
        <w:right w:val="none" w:sz="0" w:space="0" w:color="auto"/>
      </w:divBdr>
    </w:div>
    <w:div w:id="1248925563">
      <w:bodyDiv w:val="1"/>
      <w:marLeft w:val="0"/>
      <w:marRight w:val="0"/>
      <w:marTop w:val="0"/>
      <w:marBottom w:val="0"/>
      <w:divBdr>
        <w:top w:val="none" w:sz="0" w:space="0" w:color="auto"/>
        <w:left w:val="none" w:sz="0" w:space="0" w:color="auto"/>
        <w:bottom w:val="none" w:sz="0" w:space="0" w:color="auto"/>
        <w:right w:val="none" w:sz="0" w:space="0" w:color="auto"/>
      </w:divBdr>
    </w:div>
    <w:div w:id="1294098832">
      <w:bodyDiv w:val="1"/>
      <w:marLeft w:val="0"/>
      <w:marRight w:val="0"/>
      <w:marTop w:val="0"/>
      <w:marBottom w:val="0"/>
      <w:divBdr>
        <w:top w:val="none" w:sz="0" w:space="0" w:color="auto"/>
        <w:left w:val="none" w:sz="0" w:space="0" w:color="auto"/>
        <w:bottom w:val="none" w:sz="0" w:space="0" w:color="auto"/>
        <w:right w:val="none" w:sz="0" w:space="0" w:color="auto"/>
      </w:divBdr>
    </w:div>
    <w:div w:id="1294285447">
      <w:bodyDiv w:val="1"/>
      <w:marLeft w:val="0"/>
      <w:marRight w:val="0"/>
      <w:marTop w:val="0"/>
      <w:marBottom w:val="0"/>
      <w:divBdr>
        <w:top w:val="none" w:sz="0" w:space="0" w:color="auto"/>
        <w:left w:val="none" w:sz="0" w:space="0" w:color="auto"/>
        <w:bottom w:val="none" w:sz="0" w:space="0" w:color="auto"/>
        <w:right w:val="none" w:sz="0" w:space="0" w:color="auto"/>
      </w:divBdr>
    </w:div>
    <w:div w:id="1510178723">
      <w:bodyDiv w:val="1"/>
      <w:marLeft w:val="0"/>
      <w:marRight w:val="0"/>
      <w:marTop w:val="0"/>
      <w:marBottom w:val="0"/>
      <w:divBdr>
        <w:top w:val="none" w:sz="0" w:space="0" w:color="auto"/>
        <w:left w:val="none" w:sz="0" w:space="0" w:color="auto"/>
        <w:bottom w:val="none" w:sz="0" w:space="0" w:color="auto"/>
        <w:right w:val="none" w:sz="0" w:space="0" w:color="auto"/>
      </w:divBdr>
    </w:div>
    <w:div w:id="1572227924">
      <w:bodyDiv w:val="1"/>
      <w:marLeft w:val="0"/>
      <w:marRight w:val="0"/>
      <w:marTop w:val="0"/>
      <w:marBottom w:val="0"/>
      <w:divBdr>
        <w:top w:val="none" w:sz="0" w:space="0" w:color="auto"/>
        <w:left w:val="none" w:sz="0" w:space="0" w:color="auto"/>
        <w:bottom w:val="none" w:sz="0" w:space="0" w:color="auto"/>
        <w:right w:val="none" w:sz="0" w:space="0" w:color="auto"/>
      </w:divBdr>
    </w:div>
    <w:div w:id="161502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1017-43BB-42B3-A867-A1ABB154A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4105</Words>
  <Characters>23404</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Трясцина ЛА</dc:creator>
  <cp:lastModifiedBy>PU-02</cp:lastModifiedBy>
  <cp:revision>8</cp:revision>
  <cp:lastPrinted>2025-12-17T04:12:00Z</cp:lastPrinted>
  <dcterms:created xsi:type="dcterms:W3CDTF">2026-02-12T05:21:00Z</dcterms:created>
  <dcterms:modified xsi:type="dcterms:W3CDTF">2026-02-12T06:30:00Z</dcterms:modified>
</cp:coreProperties>
</file>